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3A5B" w14:textId="194EF8B2" w:rsidR="00A866DA" w:rsidRDefault="00A866DA" w:rsidP="00A866DA">
      <w:pPr>
        <w:pStyle w:val="Title"/>
      </w:pPr>
      <w:r>
        <w:t>Deteriorating health</w:t>
      </w:r>
      <w:r w:rsidR="00890473">
        <w:t xml:space="preserve"> (poster)</w:t>
      </w:r>
    </w:p>
    <w:p w14:paraId="05A7906C" w14:textId="60FC1254" w:rsidR="00890473" w:rsidRPr="00890473" w:rsidRDefault="00890473" w:rsidP="00890473">
      <w:pPr>
        <w:pStyle w:val="Subtitle"/>
      </w:pPr>
      <w:r>
        <w:t>Accessible</w:t>
      </w:r>
    </w:p>
    <w:p w14:paraId="4B5C057C" w14:textId="77777777" w:rsidR="00A866DA" w:rsidRDefault="00A866DA" w:rsidP="00A866DA">
      <w:r>
        <w:t xml:space="preserve">If you notice signs that are unusual for a person </w:t>
      </w:r>
      <w:proofErr w:type="gramStart"/>
      <w:r>
        <w:t>take action</w:t>
      </w:r>
      <w:proofErr w:type="gramEnd"/>
    </w:p>
    <w:p w14:paraId="5DB26813" w14:textId="43EC9747" w:rsidR="00A866DA" w:rsidRDefault="00A866DA" w:rsidP="00A866DA">
      <w:r>
        <w:t>Minor illness or change in health can quickly become life threatening for a person with disability</w:t>
      </w:r>
    </w:p>
    <w:p w14:paraId="204F8409" w14:textId="77777777" w:rsidR="00A866DA" w:rsidRDefault="00A866DA" w:rsidP="00A866DA">
      <w:r>
        <w:t>This is especially important for people with swallowing issues</w:t>
      </w:r>
    </w:p>
    <w:p w14:paraId="25890CA9" w14:textId="77777777" w:rsidR="00A866DA" w:rsidRDefault="00A866DA" w:rsidP="00A866DA">
      <w:r>
        <w:t>Identify when urgent medical attention is required</w:t>
      </w:r>
    </w:p>
    <w:p w14:paraId="15B77C80" w14:textId="46E91A7A" w:rsidR="00A866DA" w:rsidRDefault="00A866DA" w:rsidP="00A866DA">
      <w:r>
        <w:t>Seek advice and support if you are unsure</w:t>
      </w:r>
    </w:p>
    <w:p w14:paraId="77A99342" w14:textId="31226695" w:rsidR="00BC041D" w:rsidRDefault="00BC041D" w:rsidP="00A866DA">
      <w:r>
        <w:rPr>
          <w:noProof/>
        </w:rPr>
        <w:drawing>
          <wp:inline distT="0" distB="0" distL="0" distR="0" wp14:anchorId="0FC624D1" wp14:editId="153B5EC1">
            <wp:extent cx="3783724" cy="3869162"/>
            <wp:effectExtent l="0" t="0" r="7620" b="0"/>
            <wp:docPr id="1" name="Picture 1" descr="illustration of woman making sure another woman is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ion of woman making sure another woman is OK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1601" cy="39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1032" w14:textId="77777777" w:rsidR="00A866DA" w:rsidRDefault="00A866DA" w:rsidP="00A866DA">
      <w:pPr>
        <w:pStyle w:val="Heading1"/>
      </w:pPr>
      <w:r>
        <w:t>What should I look for?</w:t>
      </w:r>
    </w:p>
    <w:p w14:paraId="67EB1D83" w14:textId="77777777" w:rsidR="00A866DA" w:rsidRDefault="00A866DA" w:rsidP="00A866DA">
      <w:pPr>
        <w:pStyle w:val="ListParagraph"/>
      </w:pPr>
      <w:r>
        <w:t>•</w:t>
      </w:r>
      <w:r>
        <w:tab/>
        <w:t>coughing</w:t>
      </w:r>
    </w:p>
    <w:p w14:paraId="41D81224" w14:textId="77777777" w:rsidR="00A866DA" w:rsidRDefault="00A866DA" w:rsidP="00A866DA">
      <w:pPr>
        <w:pStyle w:val="ListParagraph"/>
      </w:pPr>
      <w:r>
        <w:t>•</w:t>
      </w:r>
      <w:r>
        <w:tab/>
        <w:t>vomiting</w:t>
      </w:r>
    </w:p>
    <w:p w14:paraId="193CC9F8" w14:textId="77777777" w:rsidR="00A866DA" w:rsidRDefault="00A866DA" w:rsidP="00A866DA">
      <w:pPr>
        <w:pStyle w:val="ListParagraph"/>
      </w:pPr>
      <w:r>
        <w:t>•</w:t>
      </w:r>
      <w:r>
        <w:tab/>
        <w:t>shivering or sweating</w:t>
      </w:r>
    </w:p>
    <w:p w14:paraId="4C1CEF3B" w14:textId="77777777" w:rsidR="00A866DA" w:rsidRDefault="00A866DA" w:rsidP="00A866DA">
      <w:pPr>
        <w:pStyle w:val="ListParagraph"/>
      </w:pPr>
      <w:r>
        <w:t>•</w:t>
      </w:r>
      <w:r>
        <w:tab/>
        <w:t>attempts at self-injury</w:t>
      </w:r>
    </w:p>
    <w:p w14:paraId="0D1296DC" w14:textId="77777777" w:rsidR="00A866DA" w:rsidRDefault="00A866DA" w:rsidP="00A866DA">
      <w:r>
        <w:lastRenderedPageBreak/>
        <w:t>Changes in a person’s</w:t>
      </w:r>
    </w:p>
    <w:p w14:paraId="1D322308" w14:textId="77777777" w:rsidR="00A866DA" w:rsidRDefault="00A866DA" w:rsidP="00A866DA">
      <w:pPr>
        <w:pStyle w:val="ListParagraph"/>
      </w:pPr>
      <w:r>
        <w:t>•</w:t>
      </w:r>
      <w:r>
        <w:tab/>
        <w:t>eating or drinking</w:t>
      </w:r>
    </w:p>
    <w:p w14:paraId="2776AAB9" w14:textId="77777777" w:rsidR="00A866DA" w:rsidRDefault="00A866DA" w:rsidP="00A866DA">
      <w:pPr>
        <w:pStyle w:val="ListParagraph"/>
      </w:pPr>
      <w:r>
        <w:t>•</w:t>
      </w:r>
      <w:r>
        <w:tab/>
        <w:t>skin changes (rash, swelling or blisters)</w:t>
      </w:r>
    </w:p>
    <w:p w14:paraId="0E803342" w14:textId="77777777" w:rsidR="00A866DA" w:rsidRDefault="00A866DA" w:rsidP="00A866DA">
      <w:pPr>
        <w:pStyle w:val="ListParagraph"/>
      </w:pPr>
      <w:r>
        <w:t>•</w:t>
      </w:r>
      <w:r>
        <w:tab/>
        <w:t>skin or lip colour (blue/grey)</w:t>
      </w:r>
    </w:p>
    <w:p w14:paraId="673B195B" w14:textId="77777777" w:rsidR="00A866DA" w:rsidRDefault="00A866DA" w:rsidP="00A866DA">
      <w:pPr>
        <w:pStyle w:val="ListParagraph"/>
      </w:pPr>
      <w:r>
        <w:t>•</w:t>
      </w:r>
      <w:r>
        <w:tab/>
        <w:t>behaviour</w:t>
      </w:r>
    </w:p>
    <w:p w14:paraId="6148A29B" w14:textId="77777777" w:rsidR="00A866DA" w:rsidRDefault="00A866DA" w:rsidP="00A866DA">
      <w:pPr>
        <w:pStyle w:val="ListParagraph"/>
      </w:pPr>
      <w:r>
        <w:t>•</w:t>
      </w:r>
      <w:r>
        <w:tab/>
        <w:t>toilet habits</w:t>
      </w:r>
    </w:p>
    <w:p w14:paraId="3A92F963" w14:textId="77777777" w:rsidR="00A866DA" w:rsidRDefault="00A866DA" w:rsidP="00A866DA">
      <w:pPr>
        <w:pStyle w:val="ListParagraph"/>
      </w:pPr>
      <w:r>
        <w:t>•</w:t>
      </w:r>
      <w:r>
        <w:tab/>
        <w:t>sleeping pattern</w:t>
      </w:r>
    </w:p>
    <w:p w14:paraId="33762614" w14:textId="77777777" w:rsidR="00A866DA" w:rsidRDefault="00A866DA" w:rsidP="00A866DA">
      <w:pPr>
        <w:pStyle w:val="ListParagraph"/>
      </w:pPr>
      <w:r>
        <w:t>•</w:t>
      </w:r>
      <w:r>
        <w:tab/>
        <w:t>mobility</w:t>
      </w:r>
    </w:p>
    <w:p w14:paraId="569FA24F" w14:textId="77777777" w:rsidR="00A866DA" w:rsidRDefault="00A866DA" w:rsidP="00A866DA">
      <w:pPr>
        <w:pStyle w:val="ListParagraph"/>
      </w:pPr>
      <w:r>
        <w:t>•</w:t>
      </w:r>
      <w:r>
        <w:tab/>
        <w:t>facial expressions</w:t>
      </w:r>
    </w:p>
    <w:p w14:paraId="452290C2" w14:textId="77777777" w:rsidR="00A866DA" w:rsidRDefault="00A866DA" w:rsidP="00A866DA">
      <w:pPr>
        <w:pStyle w:val="ListParagraph"/>
      </w:pPr>
      <w:r>
        <w:t>•</w:t>
      </w:r>
      <w:r>
        <w:tab/>
        <w:t>body movements</w:t>
      </w:r>
    </w:p>
    <w:p w14:paraId="5A183712" w14:textId="77777777" w:rsidR="00A866DA" w:rsidRDefault="00A866DA" w:rsidP="00A866DA">
      <w:pPr>
        <w:pStyle w:val="ListParagraph"/>
      </w:pPr>
      <w:r>
        <w:t>•</w:t>
      </w:r>
      <w:r>
        <w:tab/>
        <w:t>mood (tiredness or aggression)</w:t>
      </w:r>
    </w:p>
    <w:p w14:paraId="6591C120" w14:textId="38424792" w:rsidR="00A866DA" w:rsidRDefault="00A866DA" w:rsidP="00A866DA">
      <w:pPr>
        <w:pStyle w:val="Heading1"/>
      </w:pPr>
      <w:r>
        <w:t>Don’t delay! Reach out for help</w:t>
      </w:r>
    </w:p>
    <w:p w14:paraId="23AAC311" w14:textId="77777777" w:rsidR="00A866DA" w:rsidRDefault="00A866DA" w:rsidP="00A866DA">
      <w:r>
        <w:t>In a medical emergency call 000</w:t>
      </w:r>
    </w:p>
    <w:p w14:paraId="690A1FDE" w14:textId="77777777" w:rsidR="00A866DA" w:rsidRDefault="00A866DA" w:rsidP="00A866DA">
      <w:r>
        <w:t>If it is not a medical emergency call</w:t>
      </w:r>
    </w:p>
    <w:p w14:paraId="4475666F" w14:textId="77777777" w:rsidR="00A866DA" w:rsidRDefault="00A866DA" w:rsidP="00A866DA">
      <w:pPr>
        <w:pStyle w:val="ListParagraph"/>
      </w:pPr>
      <w:r>
        <w:t>•</w:t>
      </w:r>
      <w:r>
        <w:tab/>
        <w:t>their GP</w:t>
      </w:r>
    </w:p>
    <w:p w14:paraId="66E7818B" w14:textId="77777777" w:rsidR="00A866DA" w:rsidRDefault="00A866DA" w:rsidP="00A866DA">
      <w:pPr>
        <w:pStyle w:val="ListParagraph"/>
      </w:pPr>
      <w:r>
        <w:t>•</w:t>
      </w:r>
      <w:r>
        <w:tab/>
        <w:t>NURSE-ON-CALL 1300 60 60 24</w:t>
      </w:r>
    </w:p>
    <w:p w14:paraId="5A61ADCD" w14:textId="44006C45" w:rsidR="00A866DA" w:rsidRDefault="00A866DA" w:rsidP="00A866DA">
      <w:r>
        <w:t>Add other important numbers</w:t>
      </w:r>
    </w:p>
    <w:p w14:paraId="1D19C654" w14:textId="77777777" w:rsidR="00010A7E" w:rsidRDefault="00A866DA" w:rsidP="00A866DA">
      <w:r w:rsidRPr="00A866DA">
        <w:t xml:space="preserve">These resources were developed in collaboration between the Disability Services Commissioner and the Department of Families, Fairness and Housing. This information is based on guidance contained in the </w:t>
      </w:r>
      <w:hyperlink r:id="rId7" w:history="1">
        <w:r w:rsidRPr="00A866DA">
          <w:rPr>
            <w:rStyle w:val="Hyperlink"/>
          </w:rPr>
          <w:t>Residential Services Practice Manual</w:t>
        </w:r>
      </w:hyperlink>
      <w:r w:rsidRPr="00A866DA">
        <w:t xml:space="preserve"> </w:t>
      </w:r>
      <w:r>
        <w:t>&lt;</w:t>
      </w:r>
      <w:r w:rsidRPr="00A866DA">
        <w:t>https://providers.dffh.vic.gov.au/residential-services-practice-manual</w:t>
      </w:r>
      <w:r>
        <w:t>&gt;</w:t>
      </w:r>
      <w:r w:rsidRPr="00A866DA">
        <w:t xml:space="preserve"> </w:t>
      </w:r>
    </w:p>
    <w:p w14:paraId="3F3651CE" w14:textId="7E65A938" w:rsidR="00A866DA" w:rsidRDefault="00A866DA" w:rsidP="00A866DA">
      <w:r w:rsidRPr="00A866DA">
        <w:t xml:space="preserve">To receive this document in another format please </w:t>
      </w:r>
      <w:hyperlink r:id="rId8" w:history="1">
        <w:r w:rsidRPr="00890473">
          <w:rPr>
            <w:rStyle w:val="Hyperlink"/>
          </w:rPr>
          <w:t xml:space="preserve">email </w:t>
        </w:r>
        <w:r w:rsidR="00890473" w:rsidRPr="00890473">
          <w:rPr>
            <w:rStyle w:val="Hyperlink"/>
          </w:rPr>
          <w:t>Disability Services Commissioner</w:t>
        </w:r>
      </w:hyperlink>
      <w:r w:rsidR="00890473" w:rsidRPr="00A866DA">
        <w:t xml:space="preserve"> </w:t>
      </w:r>
      <w:r w:rsidR="00890473">
        <w:t>&lt;</w:t>
      </w:r>
      <w:r w:rsidRPr="00A866DA">
        <w:t>contact@odsc.vic.gov.au</w:t>
      </w:r>
      <w:r w:rsidR="00890473">
        <w:t>&gt;</w:t>
      </w:r>
      <w:r w:rsidRPr="00A866DA">
        <w:t>. Authorised and published by the Disability Services Commissioner, 570 Bourke Street, Melbourne. © Disability Services Commissioner, November 2021. Printed by Hornet Press, Knoxfield (2111134).</w:t>
      </w:r>
    </w:p>
    <w:sectPr w:rsidR="00A86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B89C" w14:textId="77777777" w:rsidR="00C411FD" w:rsidRDefault="00C411FD" w:rsidP="00C411FD">
      <w:pPr>
        <w:spacing w:after="0" w:line="240" w:lineRule="auto"/>
      </w:pPr>
      <w:r>
        <w:separator/>
      </w:r>
    </w:p>
  </w:endnote>
  <w:endnote w:type="continuationSeparator" w:id="0">
    <w:p w14:paraId="2FF31F2A" w14:textId="77777777" w:rsidR="00C411FD" w:rsidRDefault="00C411FD" w:rsidP="00C4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468E" w14:textId="77777777" w:rsidR="00C411FD" w:rsidRDefault="00C411FD" w:rsidP="00C411FD">
      <w:pPr>
        <w:spacing w:after="0" w:line="240" w:lineRule="auto"/>
      </w:pPr>
      <w:r>
        <w:separator/>
      </w:r>
    </w:p>
  </w:footnote>
  <w:footnote w:type="continuationSeparator" w:id="0">
    <w:p w14:paraId="72BDBCD6" w14:textId="77777777" w:rsidR="00C411FD" w:rsidRDefault="00C411FD" w:rsidP="00C41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DA"/>
    <w:rsid w:val="00010A7E"/>
    <w:rsid w:val="001D5C4B"/>
    <w:rsid w:val="004B64E1"/>
    <w:rsid w:val="00890473"/>
    <w:rsid w:val="00A04DC8"/>
    <w:rsid w:val="00A866DA"/>
    <w:rsid w:val="00B53CF4"/>
    <w:rsid w:val="00BC041D"/>
    <w:rsid w:val="00C35D25"/>
    <w:rsid w:val="00C411FD"/>
    <w:rsid w:val="00E75D34"/>
    <w:rsid w:val="00E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52F0D"/>
  <w15:chartTrackingRefBased/>
  <w15:docId w15:val="{F0E413A5-5C06-437A-8D67-7E921DC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F4"/>
    <w:pPr>
      <w:spacing w:after="240" w:line="320" w:lineRule="atLeast"/>
    </w:pPr>
    <w:rPr>
      <w:rFonts w:ascii="Arial" w:eastAsiaTheme="minorEastAsia" w:hAnsi="Arial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D34"/>
    <w:pPr>
      <w:keepNext/>
      <w:keepLines/>
      <w:spacing w:before="240" w:line="440" w:lineRule="atLeast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A7E"/>
    <w:pPr>
      <w:keepNext/>
      <w:keepLines/>
      <w:spacing w:before="40" w:line="360" w:lineRule="atLeast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CF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CF4"/>
    <w:rPr>
      <w:rFonts w:ascii="Arial" w:eastAsiaTheme="majorEastAsia" w:hAnsi="Arial" w:cstheme="majorBidi"/>
      <w:spacing w:val="-10"/>
      <w:kern w:val="28"/>
      <w:sz w:val="56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75D34"/>
    <w:rPr>
      <w:rFonts w:ascii="Arial" w:eastAsiaTheme="majorEastAsia" w:hAnsi="Arial" w:cstheme="majorBidi"/>
      <w:b/>
      <w:color w:val="000000" w:themeColor="text1"/>
      <w:sz w:val="40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866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B53CF4"/>
    <w:pPr>
      <w:spacing w:line="480" w:lineRule="atLeast"/>
      <w:ind w:left="720" w:hanging="720"/>
      <w:contextualSpacing/>
    </w:pPr>
  </w:style>
  <w:style w:type="character" w:styleId="Hyperlink">
    <w:name w:val="Hyperlink"/>
    <w:basedOn w:val="DefaultParagraphFont"/>
    <w:uiPriority w:val="99"/>
    <w:unhideWhenUsed/>
    <w:rsid w:val="00A86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D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CF4"/>
    <w:pPr>
      <w:numPr>
        <w:ilvl w:val="1"/>
      </w:numPr>
      <w:spacing w:after="480" w:line="480" w:lineRule="atLeast"/>
    </w:pPr>
    <w:rPr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53CF4"/>
    <w:rPr>
      <w:rFonts w:ascii="Arial" w:eastAsiaTheme="minorEastAsia" w:hAnsi="Arial"/>
      <w:color w:val="000000" w:themeColor="text1"/>
      <w:spacing w:val="15"/>
      <w:sz w:val="4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A7E"/>
    <w:rPr>
      <w:rFonts w:ascii="Arial" w:eastAsiaTheme="majorEastAsia" w:hAnsi="Arial" w:cstheme="majorBidi"/>
      <w:color w:val="1F3763" w:themeColor="accent1" w:themeShade="7F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dsc.vic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viders.dffh.vic.gov.au/residential-services-practice-man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Deteriorating health poster - accessible</vt:lpstr>
    </vt:vector>
  </TitlesOfParts>
  <Company>Disability Services Commission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Deteriorating health poster - accessible</dc:title>
  <dc:subject>Deteriorating health</dc:subject>
  <dc:creator>Disability Services Commission</dc:creator>
  <cp:keywords>Deteriorating health; poster; resource</cp:keywords>
  <dc:description/>
  <cp:lastModifiedBy>Sarah Alexander (DFFH)</cp:lastModifiedBy>
  <cp:revision>5</cp:revision>
  <dcterms:created xsi:type="dcterms:W3CDTF">2021-12-03T03:42:00Z</dcterms:created>
  <dcterms:modified xsi:type="dcterms:W3CDTF">2021-12-03T05:05:00Z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2021-12-03T04:54:09Z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20a83413-be20-4fcd-bef3-e395912b03d7</vt:lpwstr>
  </property>
  <property fmtid="{D5CDD505-2E9C-101B-9397-08002B2CF9AE}" pid="8" name="MSIP_Label_efdf5488-3066-4b6c-8fea-9472b8a1f34c_ContentBits">
    <vt:lpwstr>0</vt:lpwstr>
  </property>
</Properties>
</file>