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840"/>
        <w:tblW w:w="10568" w:type="dxa"/>
        <w:tblLayout w:type="fixed"/>
        <w:tblCellMar>
          <w:top w:w="40" w:type="dxa"/>
          <w:left w:w="40" w:type="dxa"/>
          <w:bottom w:w="40" w:type="dxa"/>
          <w:right w:w="40" w:type="dxa"/>
        </w:tblCellMar>
        <w:tblLook w:val="04A0" w:firstRow="1" w:lastRow="0" w:firstColumn="1" w:lastColumn="0" w:noHBand="0" w:noVBand="1"/>
      </w:tblPr>
      <w:tblGrid>
        <w:gridCol w:w="2688"/>
        <w:gridCol w:w="4981"/>
        <w:gridCol w:w="2899"/>
      </w:tblGrid>
      <w:tr w:rsidR="00AC59A5" w:rsidRPr="00E51FA9" w14:paraId="6EF9A839" w14:textId="77777777" w:rsidTr="001531CC">
        <w:trPr>
          <w:trHeight w:hRule="exact" w:val="57"/>
        </w:trPr>
        <w:tc>
          <w:tcPr>
            <w:tcW w:w="2688" w:type="dxa"/>
            <w:vMerge w:val="restart"/>
            <w:tcBorders>
              <w:top w:val="nil"/>
              <w:left w:val="nil"/>
              <w:bottom w:val="nil"/>
              <w:right w:val="single" w:sz="2" w:space="0" w:color="FFFFFF"/>
              <w:tl2br w:val="nil"/>
              <w:tr2bl w:val="nil"/>
            </w:tcBorders>
            <w:shd w:val="clear" w:color="auto" w:fill="auto"/>
          </w:tcPr>
          <w:p w14:paraId="6C0E9E67" w14:textId="77777777" w:rsidR="00AC59A5" w:rsidRPr="00E51FA9" w:rsidRDefault="00AC59A5" w:rsidP="00AC59A5">
            <w:pPr>
              <w:pStyle w:val="Header"/>
              <w:tabs>
                <w:tab w:val="clear" w:pos="4513"/>
                <w:tab w:val="clear" w:pos="9026"/>
                <w:tab w:val="left" w:pos="7133"/>
                <w:tab w:val="left" w:pos="7466"/>
                <w:tab w:val="left" w:pos="7724"/>
              </w:tabs>
              <w:ind w:left="-28"/>
              <w:jc w:val="both"/>
              <w:rPr>
                <w:noProof/>
                <w:color w:val="FFFFFF"/>
                <w:lang w:eastAsia="en-AU"/>
              </w:rPr>
            </w:pPr>
            <w:r w:rsidRPr="00E51FA9">
              <w:rPr>
                <w:b/>
                <w:caps/>
                <w:noProof/>
                <w:color w:val="FFFFFF"/>
                <w:lang w:eastAsia="en-AU"/>
              </w:rPr>
              <w:drawing>
                <wp:anchor distT="0" distB="0" distL="114300" distR="114300" simplePos="0" relativeHeight="251697152" behindDoc="0" locked="0" layoutInCell="1" allowOverlap="1" wp14:anchorId="44D146F9" wp14:editId="090915EF">
                  <wp:simplePos x="0" y="0"/>
                  <wp:positionH relativeFrom="column">
                    <wp:posOffset>-15621</wp:posOffset>
                  </wp:positionH>
                  <wp:positionV relativeFrom="paragraph">
                    <wp:posOffset>-3429</wp:posOffset>
                  </wp:positionV>
                  <wp:extent cx="1733550" cy="48260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4692" t="13889"/>
                          <a:stretch>
                            <a:fillRect/>
                          </a:stretch>
                        </pic:blipFill>
                        <pic:spPr bwMode="auto">
                          <a:xfrm>
                            <a:off x="0" y="0"/>
                            <a:ext cx="17335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FBF98" w14:textId="77777777" w:rsidR="00AC59A5" w:rsidRPr="00E51FA9" w:rsidRDefault="00AC59A5" w:rsidP="00AC59A5">
            <w:pPr>
              <w:pStyle w:val="Header"/>
              <w:tabs>
                <w:tab w:val="clear" w:pos="4513"/>
                <w:tab w:val="clear" w:pos="9026"/>
                <w:tab w:val="left" w:pos="7133"/>
                <w:tab w:val="left" w:pos="7466"/>
                <w:tab w:val="left" w:pos="7724"/>
              </w:tabs>
              <w:ind w:left="-28"/>
              <w:jc w:val="both"/>
              <w:rPr>
                <w:b/>
                <w:caps/>
                <w:noProof/>
                <w:color w:val="FFFFFF"/>
                <w:lang w:eastAsia="en-AU"/>
              </w:rPr>
            </w:pPr>
          </w:p>
          <w:p w14:paraId="2DC5EC88" w14:textId="77777777" w:rsidR="00AC59A5" w:rsidRPr="00E51FA9" w:rsidRDefault="00AC59A5" w:rsidP="00AC59A5">
            <w:pPr>
              <w:pStyle w:val="LTU-Header-DivisionSchoolResearchCentre"/>
              <w:rPr>
                <w:b/>
                <w:caps/>
              </w:rPr>
            </w:pPr>
          </w:p>
          <w:p w14:paraId="1D0FEDBB" w14:textId="77777777" w:rsidR="00AC59A5" w:rsidRPr="00E51FA9" w:rsidRDefault="00AC59A5" w:rsidP="00AC59A5">
            <w:pPr>
              <w:pStyle w:val="LTU-Cover-Subhead1"/>
              <w:rPr>
                <w:b w:val="0"/>
                <w:caps/>
                <w:noProof/>
                <w:lang w:eastAsia="en-AU"/>
              </w:rPr>
            </w:pPr>
          </w:p>
        </w:tc>
        <w:tc>
          <w:tcPr>
            <w:tcW w:w="7880" w:type="dxa"/>
            <w:gridSpan w:val="2"/>
            <w:tcBorders>
              <w:top w:val="nil"/>
              <w:left w:val="single" w:sz="2" w:space="0" w:color="FFFFFF"/>
              <w:bottom w:val="nil"/>
              <w:right w:val="nil"/>
              <w:tl2br w:val="nil"/>
              <w:tr2bl w:val="nil"/>
            </w:tcBorders>
            <w:shd w:val="clear" w:color="auto" w:fill="auto"/>
            <w:tcMar>
              <w:right w:w="284" w:type="dxa"/>
            </w:tcMar>
          </w:tcPr>
          <w:p w14:paraId="071FEDFD" w14:textId="77777777" w:rsidR="00AC59A5" w:rsidRPr="00E51FA9" w:rsidRDefault="00AC59A5" w:rsidP="00AC59A5">
            <w:pPr>
              <w:pStyle w:val="LTU-Cover-Subhead1"/>
              <w:rPr>
                <w:b w:val="0"/>
                <w:caps/>
              </w:rPr>
            </w:pPr>
          </w:p>
        </w:tc>
      </w:tr>
      <w:tr w:rsidR="00AC59A5" w:rsidRPr="00E51FA9" w14:paraId="1FCFCD29" w14:textId="77777777" w:rsidTr="001531CC">
        <w:trPr>
          <w:trHeight w:hRule="exact" w:val="227"/>
        </w:trPr>
        <w:tc>
          <w:tcPr>
            <w:tcW w:w="2688" w:type="dxa"/>
            <w:vMerge/>
            <w:shd w:val="clear" w:color="auto" w:fill="auto"/>
            <w:vAlign w:val="center"/>
          </w:tcPr>
          <w:p w14:paraId="7AB77E13" w14:textId="77777777" w:rsidR="00AC59A5" w:rsidRPr="00E51FA9" w:rsidRDefault="00AC59A5" w:rsidP="00AC59A5">
            <w:pPr>
              <w:pStyle w:val="LTU-Cover-Subhead1"/>
              <w:rPr>
                <w:noProof/>
                <w:lang w:eastAsia="en-AU"/>
              </w:rPr>
            </w:pPr>
          </w:p>
        </w:tc>
        <w:tc>
          <w:tcPr>
            <w:tcW w:w="7880" w:type="dxa"/>
            <w:gridSpan w:val="2"/>
            <w:shd w:val="clear" w:color="auto" w:fill="AB2328"/>
            <w:tcMar>
              <w:right w:w="284" w:type="dxa"/>
            </w:tcMar>
            <w:vAlign w:val="center"/>
          </w:tcPr>
          <w:p w14:paraId="6C6CAA57" w14:textId="77777777" w:rsidR="00AC59A5" w:rsidRPr="00E51FA9" w:rsidRDefault="00AC59A5" w:rsidP="00AC59A5">
            <w:pPr>
              <w:pStyle w:val="LTU-Cover-Subhead1"/>
              <w:rPr>
                <w:color w:val="AB2328"/>
              </w:rPr>
            </w:pPr>
          </w:p>
        </w:tc>
      </w:tr>
      <w:tr w:rsidR="00AC59A5" w:rsidRPr="00E51FA9" w14:paraId="218DE195" w14:textId="77777777" w:rsidTr="001531CC">
        <w:trPr>
          <w:trHeight w:hRule="exact" w:val="2132"/>
        </w:trPr>
        <w:tc>
          <w:tcPr>
            <w:tcW w:w="2688" w:type="dxa"/>
            <w:vMerge/>
            <w:shd w:val="clear" w:color="auto" w:fill="auto"/>
            <w:vAlign w:val="bottom"/>
          </w:tcPr>
          <w:p w14:paraId="01FE539F" w14:textId="77777777" w:rsidR="00AC59A5" w:rsidRPr="00E51FA9" w:rsidRDefault="00AC59A5" w:rsidP="00AC59A5">
            <w:pPr>
              <w:pStyle w:val="LTU-Cover-Subhead1"/>
            </w:pPr>
          </w:p>
        </w:tc>
        <w:tc>
          <w:tcPr>
            <w:tcW w:w="7880" w:type="dxa"/>
            <w:gridSpan w:val="2"/>
            <w:shd w:val="clear" w:color="auto" w:fill="auto"/>
            <w:tcMar>
              <w:top w:w="85" w:type="dxa"/>
              <w:right w:w="284" w:type="dxa"/>
            </w:tcMar>
          </w:tcPr>
          <w:p w14:paraId="14DAB74F" w14:textId="77777777" w:rsidR="00AC59A5" w:rsidRPr="00E51FA9" w:rsidRDefault="0014768F" w:rsidP="00AC59A5">
            <w:pPr>
              <w:autoSpaceDE w:val="0"/>
              <w:autoSpaceDN w:val="0"/>
              <w:adjustRightInd w:val="0"/>
              <w:rPr>
                <w:rFonts w:ascii="GothamNarrow-Book" w:eastAsiaTheme="minorHAnsi" w:hAnsi="GothamNarrow-Book" w:cs="GothamNarrow-Book"/>
                <w:color w:val="B30000"/>
                <w:sz w:val="49"/>
                <w:szCs w:val="81"/>
              </w:rPr>
            </w:pPr>
            <w:r w:rsidRPr="00E51FA9">
              <w:rPr>
                <w:rFonts w:ascii="GothamNarrow-Book" w:eastAsiaTheme="minorHAnsi" w:hAnsi="GothamNarrow-Book" w:cs="GothamNarrow-Book"/>
                <w:noProof/>
                <w:color w:val="B30000"/>
                <w:sz w:val="49"/>
                <w:szCs w:val="81"/>
                <w:lang w:eastAsia="en-AU"/>
              </w:rPr>
              <w:drawing>
                <wp:anchor distT="0" distB="0" distL="114300" distR="114300" simplePos="0" relativeHeight="251667456" behindDoc="0" locked="0" layoutInCell="1" allowOverlap="1" wp14:anchorId="3688CBC1" wp14:editId="584E73E7">
                  <wp:simplePos x="0" y="0"/>
                  <wp:positionH relativeFrom="column">
                    <wp:posOffset>4083685</wp:posOffset>
                  </wp:positionH>
                  <wp:positionV relativeFrom="paragraph">
                    <wp:posOffset>13335</wp:posOffset>
                  </wp:positionV>
                  <wp:extent cx="876300" cy="942975"/>
                  <wp:effectExtent l="0" t="0" r="0" b="9525"/>
                  <wp:wrapNone/>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942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51FA9">
              <w:rPr>
                <w:rFonts w:ascii="GothamNarrow-Book" w:eastAsiaTheme="minorHAnsi" w:hAnsi="GothamNarrow-Book" w:cs="GothamNarrow-Book"/>
                <w:noProof/>
                <w:color w:val="B30000"/>
                <w:sz w:val="49"/>
                <w:szCs w:val="81"/>
                <w:lang w:eastAsia="en-AU"/>
              </w:rPr>
              <w:drawing>
                <wp:anchor distT="0" distB="0" distL="114300" distR="114300" simplePos="0" relativeHeight="251665408" behindDoc="0" locked="0" layoutInCell="1" allowOverlap="1" wp14:anchorId="712D12F3" wp14:editId="54C15AEE">
                  <wp:simplePos x="0" y="0"/>
                  <wp:positionH relativeFrom="column">
                    <wp:posOffset>3150235</wp:posOffset>
                  </wp:positionH>
                  <wp:positionV relativeFrom="paragraph">
                    <wp:posOffset>13335</wp:posOffset>
                  </wp:positionV>
                  <wp:extent cx="873125" cy="942975"/>
                  <wp:effectExtent l="0" t="0" r="3175" b="9525"/>
                  <wp:wrapNone/>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3125" cy="942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51FA9">
              <w:rPr>
                <w:rFonts w:ascii="GothamNarrow-Book" w:eastAsiaTheme="minorHAnsi" w:hAnsi="GothamNarrow-Book" w:cs="GothamNarrow-Book"/>
                <w:noProof/>
                <w:color w:val="B30000"/>
                <w:sz w:val="49"/>
                <w:szCs w:val="81"/>
                <w:lang w:eastAsia="en-AU"/>
              </w:rPr>
              <w:drawing>
                <wp:anchor distT="0" distB="0" distL="114300" distR="114300" simplePos="0" relativeHeight="251663360" behindDoc="0" locked="0" layoutInCell="1" allowOverlap="1" wp14:anchorId="5DDB99B6" wp14:editId="18CA3986">
                  <wp:simplePos x="0" y="0"/>
                  <wp:positionH relativeFrom="column">
                    <wp:posOffset>2224405</wp:posOffset>
                  </wp:positionH>
                  <wp:positionV relativeFrom="paragraph">
                    <wp:posOffset>13335</wp:posOffset>
                  </wp:positionV>
                  <wp:extent cx="857885" cy="942975"/>
                  <wp:effectExtent l="0" t="0" r="0" b="9525"/>
                  <wp:wrapNone/>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885" cy="942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C59A5" w:rsidRPr="00E51FA9">
              <w:rPr>
                <w:rFonts w:ascii="GothamNarrow-Book" w:eastAsiaTheme="minorHAnsi" w:hAnsi="GothamNarrow-Book" w:cs="GothamNarrow-Book"/>
                <w:color w:val="B30000"/>
                <w:sz w:val="49"/>
                <w:szCs w:val="81"/>
              </w:rPr>
              <w:t>Living with</w:t>
            </w:r>
          </w:p>
          <w:p w14:paraId="25B6FC30" w14:textId="77777777" w:rsidR="00AC59A5" w:rsidRPr="00E51FA9" w:rsidRDefault="00AC59A5" w:rsidP="00AC59A5">
            <w:pPr>
              <w:autoSpaceDE w:val="0"/>
              <w:autoSpaceDN w:val="0"/>
              <w:adjustRightInd w:val="0"/>
              <w:rPr>
                <w:rFonts w:ascii="GothamNarrow-Book" w:eastAsiaTheme="minorHAnsi" w:hAnsi="GothamNarrow-Book" w:cs="GothamNarrow-Book"/>
                <w:color w:val="B30000"/>
                <w:sz w:val="49"/>
                <w:szCs w:val="81"/>
              </w:rPr>
            </w:pPr>
            <w:r w:rsidRPr="00E51FA9">
              <w:rPr>
                <w:rFonts w:ascii="GothamNarrow-Book" w:eastAsiaTheme="minorHAnsi" w:hAnsi="GothamNarrow-Book" w:cs="GothamNarrow-Book"/>
                <w:color w:val="B30000"/>
                <w:sz w:val="49"/>
                <w:szCs w:val="81"/>
              </w:rPr>
              <w:t>Disability</w:t>
            </w:r>
          </w:p>
          <w:p w14:paraId="77F5878A" w14:textId="77777777" w:rsidR="00AC59A5" w:rsidRPr="00E51FA9" w:rsidRDefault="00AC59A5" w:rsidP="00AC59A5">
            <w:pPr>
              <w:autoSpaceDE w:val="0"/>
              <w:autoSpaceDN w:val="0"/>
              <w:adjustRightInd w:val="0"/>
              <w:rPr>
                <w:rFonts w:eastAsia="MS PGothic" w:cs="Arial"/>
                <w:b/>
                <w:bCs/>
                <w:color w:val="FF0000"/>
                <w:kern w:val="24"/>
                <w:position w:val="1"/>
                <w:sz w:val="56"/>
                <w:szCs w:val="56"/>
              </w:rPr>
            </w:pPr>
            <w:r w:rsidRPr="00E51FA9">
              <w:rPr>
                <w:rFonts w:ascii="GothamNarrow-Medium" w:eastAsiaTheme="minorHAnsi" w:hAnsi="GothamNarrow-Medium" w:cs="GothamNarrow-Medium"/>
                <w:color w:val="000000"/>
                <w:sz w:val="32"/>
                <w:szCs w:val="32"/>
              </w:rPr>
              <w:t>RESEARCH</w:t>
            </w:r>
            <w:r w:rsidRPr="00E51FA9">
              <w:rPr>
                <w:rFonts w:eastAsia="MS PGothic" w:cs="Arial"/>
                <w:b/>
                <w:bCs/>
                <w:kern w:val="24"/>
                <w:position w:val="1"/>
                <w:sz w:val="40"/>
                <w:szCs w:val="56"/>
              </w:rPr>
              <w:t xml:space="preserve"> </w:t>
            </w:r>
            <w:r w:rsidRPr="00E51FA9">
              <w:rPr>
                <w:rFonts w:ascii="GothamNarrow-Medium" w:eastAsiaTheme="minorHAnsi" w:hAnsi="GothamNarrow-Medium" w:cs="GothamNarrow-Medium"/>
                <w:color w:val="000000"/>
                <w:sz w:val="32"/>
                <w:szCs w:val="32"/>
              </w:rPr>
              <w:t xml:space="preserve">CENTRE </w:t>
            </w:r>
          </w:p>
          <w:p w14:paraId="215DABA0" w14:textId="77777777" w:rsidR="00AC59A5" w:rsidRPr="00E51FA9" w:rsidRDefault="00AC59A5" w:rsidP="00AC59A5">
            <w:pPr>
              <w:pStyle w:val="NormalWeb"/>
              <w:kinsoku w:val="0"/>
              <w:overflowPunct w:val="0"/>
              <w:spacing w:after="0" w:afterAutospacing="0"/>
              <w:ind w:left="102" w:hanging="102"/>
              <w:textAlignment w:val="baseline"/>
            </w:pPr>
            <w:r w:rsidRPr="00E51FA9">
              <w:rPr>
                <w:rFonts w:asciiTheme="minorHAnsi" w:eastAsiaTheme="minorHAnsi" w:hAnsiTheme="minorHAnsi" w:cstheme="minorBidi"/>
                <w:b/>
                <w:i/>
                <w:color w:val="FF0000"/>
                <w:sz w:val="28"/>
                <w:szCs w:val="28"/>
                <w:lang w:eastAsia="en-US"/>
              </w:rPr>
              <w:t>Supporting inclusio</w:t>
            </w:r>
            <w:bookmarkStart w:id="0" w:name="_GoBack"/>
            <w:bookmarkEnd w:id="0"/>
            <w:r w:rsidRPr="00E51FA9">
              <w:rPr>
                <w:rFonts w:asciiTheme="minorHAnsi" w:eastAsiaTheme="minorHAnsi" w:hAnsiTheme="minorHAnsi" w:cstheme="minorBidi"/>
                <w:b/>
                <w:i/>
                <w:color w:val="FF0000"/>
                <w:sz w:val="28"/>
                <w:szCs w:val="28"/>
                <w:lang w:eastAsia="en-US"/>
              </w:rPr>
              <w:t>n of people with cognitive disabilities</w:t>
            </w:r>
          </w:p>
        </w:tc>
      </w:tr>
      <w:tr w:rsidR="00AC59A5" w:rsidRPr="00E51FA9" w14:paraId="3C304362" w14:textId="77777777" w:rsidTr="001531CC">
        <w:trPr>
          <w:trHeight w:hRule="exact" w:val="164"/>
        </w:trPr>
        <w:tc>
          <w:tcPr>
            <w:tcW w:w="2688" w:type="dxa"/>
            <w:shd w:val="clear" w:color="auto" w:fill="auto"/>
            <w:tcMar>
              <w:top w:w="0" w:type="dxa"/>
              <w:left w:w="0" w:type="dxa"/>
              <w:bottom w:w="567" w:type="dxa"/>
              <w:right w:w="0" w:type="dxa"/>
            </w:tcMar>
            <w:vAlign w:val="bottom"/>
          </w:tcPr>
          <w:p w14:paraId="5B13DD68" w14:textId="77777777" w:rsidR="00AC59A5" w:rsidRPr="00E51FA9" w:rsidRDefault="00AC59A5" w:rsidP="00AC59A5">
            <w:pPr>
              <w:pStyle w:val="LTU-Cover-Subhead1"/>
            </w:pPr>
          </w:p>
        </w:tc>
        <w:tc>
          <w:tcPr>
            <w:tcW w:w="7880" w:type="dxa"/>
            <w:gridSpan w:val="2"/>
            <w:shd w:val="clear" w:color="auto" w:fill="auto"/>
            <w:tcMar>
              <w:top w:w="0" w:type="dxa"/>
              <w:left w:w="0" w:type="dxa"/>
              <w:bottom w:w="567" w:type="dxa"/>
              <w:right w:w="284" w:type="dxa"/>
            </w:tcMar>
            <w:vAlign w:val="bottom"/>
          </w:tcPr>
          <w:p w14:paraId="2421B52D" w14:textId="77777777" w:rsidR="00AC59A5" w:rsidRPr="00E51FA9" w:rsidRDefault="00AC59A5" w:rsidP="00AC59A5">
            <w:pPr>
              <w:pStyle w:val="LTU-Cover-DateVersion"/>
              <w:rPr>
                <w:color w:val="5C4A3F"/>
              </w:rPr>
            </w:pPr>
          </w:p>
        </w:tc>
      </w:tr>
      <w:tr w:rsidR="00AC59A5" w:rsidRPr="00E51FA9" w14:paraId="2A9E9D98" w14:textId="77777777" w:rsidTr="006521A7">
        <w:trPr>
          <w:trHeight w:hRule="exact" w:val="8834"/>
        </w:trPr>
        <w:tc>
          <w:tcPr>
            <w:tcW w:w="2688" w:type="dxa"/>
            <w:shd w:val="clear" w:color="auto" w:fill="AB2328"/>
            <w:tcMar>
              <w:top w:w="340" w:type="dxa"/>
              <w:left w:w="0" w:type="dxa"/>
              <w:bottom w:w="0" w:type="dxa"/>
              <w:right w:w="0" w:type="dxa"/>
            </w:tcMar>
          </w:tcPr>
          <w:p w14:paraId="2295DDBF" w14:textId="77777777" w:rsidR="00AC59A5" w:rsidRPr="00E51FA9" w:rsidRDefault="00AC59A5" w:rsidP="00AC59A5">
            <w:pPr>
              <w:pStyle w:val="LTU-Cover-Subhead1"/>
              <w:jc w:val="center"/>
              <w:rPr>
                <w:rFonts w:ascii="Georgia" w:hAnsi="Georgia"/>
              </w:rPr>
            </w:pPr>
          </w:p>
        </w:tc>
        <w:tc>
          <w:tcPr>
            <w:tcW w:w="7880" w:type="dxa"/>
            <w:gridSpan w:val="2"/>
            <w:shd w:val="clear" w:color="auto" w:fill="AB2328"/>
            <w:tcMar>
              <w:top w:w="340" w:type="dxa"/>
              <w:left w:w="0" w:type="dxa"/>
              <w:bottom w:w="0" w:type="dxa"/>
              <w:right w:w="284" w:type="dxa"/>
            </w:tcMar>
          </w:tcPr>
          <w:p w14:paraId="6A68A560" w14:textId="210EAE78" w:rsidR="00AC59A5" w:rsidRPr="00E51FA9" w:rsidRDefault="001D7A9B" w:rsidP="00AC59A5">
            <w:pPr>
              <w:widowControl w:val="0"/>
              <w:spacing w:after="120" w:line="360" w:lineRule="auto"/>
              <w:rPr>
                <w:rFonts w:ascii="Georgia" w:hAnsi="Georgia"/>
                <w:b/>
                <w:color w:val="FFFFFF"/>
                <w:sz w:val="40"/>
                <w:szCs w:val="40"/>
                <w:lang w:val="en-US"/>
              </w:rPr>
            </w:pPr>
            <w:r w:rsidRPr="00E51FA9">
              <w:rPr>
                <w:rFonts w:ascii="Georgia" w:hAnsi="Georgia"/>
                <w:b/>
                <w:color w:val="FFFFFF"/>
                <w:sz w:val="40"/>
                <w:szCs w:val="40"/>
                <w:lang w:val="en-US"/>
              </w:rPr>
              <w:t>Literature Review of Best Practice Supports in Disability Services for the Prevention of Abuse of People with Disability</w:t>
            </w:r>
          </w:p>
          <w:p w14:paraId="230BB24F" w14:textId="77777777" w:rsidR="006055F4" w:rsidRPr="00E51FA9" w:rsidRDefault="006055F4" w:rsidP="006055F4">
            <w:pPr>
              <w:widowControl w:val="0"/>
              <w:spacing w:line="360" w:lineRule="auto"/>
              <w:rPr>
                <w:rFonts w:ascii="Georgia" w:hAnsi="Georgia"/>
                <w:b/>
                <w:color w:val="FFFFFF"/>
                <w:sz w:val="40"/>
                <w:szCs w:val="40"/>
                <w:lang w:val="en-US"/>
              </w:rPr>
            </w:pPr>
          </w:p>
          <w:p w14:paraId="354E9736" w14:textId="15B42030" w:rsidR="006055F4" w:rsidRPr="00E51FA9" w:rsidRDefault="00EE1646" w:rsidP="006055F4">
            <w:pPr>
              <w:rPr>
                <w:rFonts w:ascii="Georgia" w:hAnsi="Georgia"/>
                <w:b/>
                <w:color w:val="FFFFFF"/>
                <w:sz w:val="40"/>
                <w:szCs w:val="40"/>
                <w:lang w:val="en-US"/>
              </w:rPr>
            </w:pPr>
            <w:r w:rsidRPr="00E51FA9">
              <w:rPr>
                <w:rFonts w:ascii="Georgia" w:hAnsi="Georgia"/>
                <w:b/>
                <w:color w:val="FFFFFF"/>
                <w:sz w:val="40"/>
                <w:szCs w:val="40"/>
                <w:lang w:val="en-US"/>
              </w:rPr>
              <w:t xml:space="preserve">Report for </w:t>
            </w:r>
            <w:r w:rsidR="001D7A9B" w:rsidRPr="00E51FA9">
              <w:rPr>
                <w:rFonts w:ascii="Georgia" w:hAnsi="Georgia"/>
                <w:b/>
                <w:color w:val="FFFFFF"/>
                <w:sz w:val="40"/>
                <w:szCs w:val="40"/>
                <w:lang w:val="en-US"/>
              </w:rPr>
              <w:t>the Disability Services Commissioner</w:t>
            </w:r>
          </w:p>
          <w:p w14:paraId="4B9D4E88" w14:textId="77777777" w:rsidR="00AC59A5" w:rsidRPr="00E51FA9" w:rsidRDefault="00AC59A5" w:rsidP="006055F4">
            <w:pPr>
              <w:spacing w:after="120" w:line="360" w:lineRule="auto"/>
              <w:rPr>
                <w:rFonts w:ascii="Georgia" w:hAnsi="Georgia"/>
                <w:sz w:val="40"/>
                <w:szCs w:val="40"/>
                <w:lang w:val="en-US"/>
              </w:rPr>
            </w:pPr>
          </w:p>
          <w:p w14:paraId="6DCF0097" w14:textId="35DF1334" w:rsidR="006055F4" w:rsidRPr="00E51FA9" w:rsidRDefault="001D7A9B" w:rsidP="006055F4">
            <w:pPr>
              <w:rPr>
                <w:rFonts w:ascii="Georgia" w:hAnsi="Georgia"/>
                <w:b/>
                <w:color w:val="FFFFFF"/>
                <w:sz w:val="32"/>
                <w:szCs w:val="32"/>
                <w:lang w:val="en-US"/>
              </w:rPr>
            </w:pPr>
            <w:r w:rsidRPr="00E51FA9">
              <w:rPr>
                <w:rFonts w:ascii="Georgia" w:hAnsi="Georgia"/>
                <w:b/>
                <w:color w:val="FFFFFF"/>
                <w:sz w:val="32"/>
                <w:szCs w:val="32"/>
                <w:lang w:val="en-US"/>
              </w:rPr>
              <w:t>September 2017</w:t>
            </w:r>
          </w:p>
          <w:p w14:paraId="579819C4" w14:textId="77777777" w:rsidR="006055F4" w:rsidRPr="00E51FA9" w:rsidRDefault="006055F4" w:rsidP="006055F4">
            <w:pPr>
              <w:spacing w:after="120" w:line="360" w:lineRule="auto"/>
              <w:rPr>
                <w:rFonts w:ascii="Georgia" w:hAnsi="Georgia"/>
                <w:sz w:val="40"/>
                <w:szCs w:val="40"/>
                <w:lang w:val="en-US"/>
              </w:rPr>
            </w:pPr>
          </w:p>
          <w:p w14:paraId="6CDA9E81" w14:textId="77777777" w:rsidR="00AC59A5" w:rsidRPr="00E51FA9" w:rsidRDefault="00AC59A5" w:rsidP="00AC59A5">
            <w:pPr>
              <w:pStyle w:val="LTU-Cover-Heading2"/>
              <w:jc w:val="center"/>
              <w:rPr>
                <w:sz w:val="28"/>
                <w:szCs w:val="28"/>
              </w:rPr>
            </w:pPr>
          </w:p>
          <w:p w14:paraId="025C5111" w14:textId="66DE5CCE" w:rsidR="00AC59A5" w:rsidRPr="00E51FA9" w:rsidRDefault="008F42DC" w:rsidP="00720B71">
            <w:pPr>
              <w:pStyle w:val="LTU-Cover-Heading2"/>
              <w:rPr>
                <w:rFonts w:cs="Arial"/>
                <w:sz w:val="28"/>
                <w:szCs w:val="28"/>
                <w:lang w:val="en-US"/>
              </w:rPr>
            </w:pPr>
            <w:r w:rsidRPr="00E51FA9">
              <w:rPr>
                <w:rFonts w:eastAsiaTheme="minorHAnsi"/>
                <w:b w:val="0"/>
                <w:bCs w:val="0"/>
                <w:sz w:val="28"/>
                <w:szCs w:val="28"/>
                <w:lang w:val="en-AU"/>
              </w:rPr>
              <w:t xml:space="preserve">Tal </w:t>
            </w:r>
            <w:proofErr w:type="spellStart"/>
            <w:r w:rsidRPr="00E51FA9">
              <w:rPr>
                <w:rFonts w:eastAsiaTheme="minorHAnsi"/>
                <w:b w:val="0"/>
                <w:bCs w:val="0"/>
                <w:sz w:val="28"/>
                <w:szCs w:val="28"/>
                <w:lang w:val="en-AU"/>
              </w:rPr>
              <w:t>Araten</w:t>
            </w:r>
            <w:proofErr w:type="spellEnd"/>
            <w:r w:rsidR="001D7A9B" w:rsidRPr="00E51FA9">
              <w:rPr>
                <w:rFonts w:eastAsiaTheme="minorHAnsi"/>
                <w:b w:val="0"/>
                <w:bCs w:val="0"/>
                <w:sz w:val="28"/>
                <w:szCs w:val="28"/>
                <w:lang w:val="en-US"/>
              </w:rPr>
              <w:t>-Bergm</w:t>
            </w:r>
            <w:r w:rsidR="00CF3AA1" w:rsidRPr="00E51FA9">
              <w:rPr>
                <w:rFonts w:eastAsiaTheme="minorHAnsi"/>
                <w:b w:val="0"/>
                <w:bCs w:val="0"/>
                <w:sz w:val="28"/>
                <w:szCs w:val="28"/>
                <w:lang w:val="en-US"/>
              </w:rPr>
              <w:t>an,</w:t>
            </w:r>
            <w:r w:rsidR="00CF3AA1" w:rsidRPr="00E51FA9">
              <w:rPr>
                <w:rFonts w:eastAsiaTheme="minorHAnsi"/>
                <w:b w:val="0"/>
                <w:bCs w:val="0"/>
                <w:sz w:val="28"/>
                <w:szCs w:val="28"/>
                <w:lang w:val="en-AU"/>
              </w:rPr>
              <w:t xml:space="preserve"> Christine </w:t>
            </w:r>
            <w:r w:rsidR="00307090" w:rsidRPr="00E51FA9">
              <w:rPr>
                <w:rFonts w:eastAsiaTheme="minorHAnsi"/>
                <w:b w:val="0"/>
                <w:bCs w:val="0"/>
                <w:sz w:val="28"/>
                <w:szCs w:val="28"/>
                <w:lang w:val="en-US"/>
              </w:rPr>
              <w:t>Bigby</w:t>
            </w:r>
            <w:r w:rsidR="001D7A9B" w:rsidRPr="00E51FA9">
              <w:rPr>
                <w:rFonts w:eastAsiaTheme="minorHAnsi"/>
                <w:b w:val="0"/>
                <w:bCs w:val="0"/>
                <w:sz w:val="28"/>
                <w:szCs w:val="28"/>
                <w:lang w:val="en-US"/>
              </w:rPr>
              <w:t xml:space="preserve"> &amp; </w:t>
            </w:r>
            <w:r w:rsidR="00307090" w:rsidRPr="00E51FA9">
              <w:rPr>
                <w:rFonts w:eastAsiaTheme="minorHAnsi"/>
                <w:b w:val="0"/>
                <w:bCs w:val="0"/>
                <w:sz w:val="28"/>
                <w:szCs w:val="28"/>
                <w:lang w:val="en-AU"/>
              </w:rPr>
              <w:t xml:space="preserve">Gail </w:t>
            </w:r>
            <w:r w:rsidR="001D7A9B" w:rsidRPr="00E51FA9">
              <w:rPr>
                <w:rFonts w:eastAsiaTheme="minorHAnsi"/>
                <w:b w:val="0"/>
                <w:bCs w:val="0"/>
                <w:sz w:val="28"/>
                <w:szCs w:val="28"/>
                <w:lang w:val="en-US"/>
              </w:rPr>
              <w:t>Ritchie</w:t>
            </w:r>
            <w:r w:rsidR="00307090" w:rsidRPr="00E51FA9">
              <w:rPr>
                <w:rFonts w:eastAsiaTheme="minorHAnsi"/>
                <w:b w:val="0"/>
                <w:bCs w:val="0"/>
                <w:sz w:val="28"/>
                <w:szCs w:val="28"/>
                <w:lang w:val="en-AU"/>
              </w:rPr>
              <w:t xml:space="preserve">. </w:t>
            </w:r>
          </w:p>
        </w:tc>
      </w:tr>
      <w:tr w:rsidR="00AC59A5" w:rsidRPr="00E51FA9" w14:paraId="4002D257" w14:textId="77777777" w:rsidTr="00861FCE">
        <w:trPr>
          <w:trHeight w:val="1509"/>
        </w:trPr>
        <w:tc>
          <w:tcPr>
            <w:tcW w:w="2688" w:type="dxa"/>
            <w:shd w:val="clear" w:color="auto" w:fill="AB2328"/>
            <w:tcMar>
              <w:bottom w:w="284" w:type="dxa"/>
            </w:tcMar>
          </w:tcPr>
          <w:p w14:paraId="22108E57" w14:textId="77777777" w:rsidR="00AC59A5" w:rsidRPr="00E51FA9" w:rsidRDefault="00AC59A5" w:rsidP="00AC59A5">
            <w:pPr>
              <w:pStyle w:val="LTU-Cover-Subhead1"/>
            </w:pPr>
          </w:p>
        </w:tc>
        <w:tc>
          <w:tcPr>
            <w:tcW w:w="4981" w:type="dxa"/>
            <w:shd w:val="clear" w:color="auto" w:fill="AB2328"/>
            <w:tcMar>
              <w:bottom w:w="284" w:type="dxa"/>
              <w:right w:w="0" w:type="dxa"/>
            </w:tcMar>
          </w:tcPr>
          <w:p w14:paraId="703159F9" w14:textId="77777777" w:rsidR="00AC59A5" w:rsidRPr="00E51FA9" w:rsidRDefault="00AC59A5" w:rsidP="00AC59A5">
            <w:pPr>
              <w:pStyle w:val="LTU-Cover-Contactdetails"/>
              <w:rPr>
                <w:b/>
                <w:color w:val="FFFFFF"/>
              </w:rPr>
            </w:pPr>
            <w:r w:rsidRPr="00E51FA9">
              <w:rPr>
                <w:b/>
                <w:color w:val="FFFFFF"/>
              </w:rPr>
              <w:t>ENQUIRIES</w:t>
            </w:r>
          </w:p>
          <w:p w14:paraId="30559267" w14:textId="77777777" w:rsidR="00AC59A5" w:rsidRPr="00E51FA9" w:rsidRDefault="00AC59A5" w:rsidP="00AC59A5">
            <w:pPr>
              <w:pStyle w:val="LTU-Cover-Contactdetails"/>
              <w:rPr>
                <w:color w:val="FFFFFF"/>
              </w:rPr>
            </w:pPr>
            <w:r w:rsidRPr="00E51FA9">
              <w:rPr>
                <w:color w:val="FFFFFF"/>
              </w:rPr>
              <w:t>Professor Christine  Bigby</w:t>
            </w:r>
          </w:p>
          <w:p w14:paraId="5DDE5774" w14:textId="77777777" w:rsidR="00AC59A5" w:rsidRPr="00E51FA9" w:rsidRDefault="00AC59A5" w:rsidP="00AC59A5">
            <w:pPr>
              <w:pStyle w:val="LTU-Cover-Contactdetails"/>
              <w:rPr>
                <w:color w:val="FFFFFF"/>
              </w:rPr>
            </w:pPr>
            <w:r w:rsidRPr="00E51FA9">
              <w:rPr>
                <w:color w:val="FFFFFF"/>
              </w:rPr>
              <w:t xml:space="preserve">Director, Living with Disability Research Centre </w:t>
            </w:r>
          </w:p>
          <w:p w14:paraId="35CDD568" w14:textId="77777777" w:rsidR="00AC59A5" w:rsidRPr="00E51FA9" w:rsidRDefault="00AC59A5" w:rsidP="00AC59A5">
            <w:pPr>
              <w:pStyle w:val="LTU-Cover-Contactdetails"/>
              <w:rPr>
                <w:color w:val="FFFFFF"/>
              </w:rPr>
            </w:pPr>
            <w:r w:rsidRPr="00E51FA9">
              <w:rPr>
                <w:color w:val="FFFFFF"/>
              </w:rPr>
              <w:t>La</w:t>
            </w:r>
            <w:r w:rsidRPr="00E51FA9">
              <w:rPr>
                <w:rFonts w:ascii="MS Gothic" w:eastAsia="MS Gothic" w:hAnsi="MS Gothic" w:cs="MS Gothic" w:hint="eastAsia"/>
                <w:color w:val="FFFFFF"/>
              </w:rPr>
              <w:t> </w:t>
            </w:r>
            <w:r w:rsidRPr="00E51FA9">
              <w:rPr>
                <w:color w:val="FFFFFF"/>
              </w:rPr>
              <w:t>Trobe University</w:t>
            </w:r>
          </w:p>
          <w:p w14:paraId="3480CF93" w14:textId="77777777" w:rsidR="00AC59A5" w:rsidRPr="00E51FA9" w:rsidRDefault="00AC59A5" w:rsidP="00AC59A5">
            <w:pPr>
              <w:pStyle w:val="LTU-Cover-Contactdetails"/>
              <w:rPr>
                <w:color w:val="FFFFFF"/>
              </w:rPr>
            </w:pPr>
            <w:r w:rsidRPr="00E51FA9">
              <w:rPr>
                <w:color w:val="FFFFFF"/>
              </w:rPr>
              <w:t>Victoria 3086</w:t>
            </w:r>
          </w:p>
        </w:tc>
        <w:tc>
          <w:tcPr>
            <w:tcW w:w="2899" w:type="dxa"/>
            <w:shd w:val="clear" w:color="auto" w:fill="AB2328"/>
            <w:tcMar>
              <w:top w:w="57" w:type="dxa"/>
              <w:left w:w="57" w:type="dxa"/>
              <w:bottom w:w="284" w:type="dxa"/>
              <w:right w:w="284" w:type="dxa"/>
            </w:tcMar>
          </w:tcPr>
          <w:p w14:paraId="4CA7F73E" w14:textId="77777777" w:rsidR="00AC59A5" w:rsidRPr="00E51FA9" w:rsidRDefault="00AC59A5" w:rsidP="00AC59A5">
            <w:pPr>
              <w:pStyle w:val="LTU-Cover-Contactdetails"/>
              <w:rPr>
                <w:color w:val="FFFFFF"/>
              </w:rPr>
            </w:pPr>
            <w:r w:rsidRPr="00E51FA9">
              <w:rPr>
                <w:b/>
                <w:bCs/>
                <w:caps/>
                <w:color w:val="FFFFFF"/>
              </w:rPr>
              <w:t>T</w:t>
            </w:r>
            <w:r w:rsidRPr="00E51FA9">
              <w:rPr>
                <w:color w:val="FFFFFF"/>
              </w:rPr>
              <w:tab/>
              <w:t>03 9479 1016</w:t>
            </w:r>
          </w:p>
          <w:p w14:paraId="62C4F23E" w14:textId="77777777" w:rsidR="00AC59A5" w:rsidRPr="00E51FA9" w:rsidRDefault="00AC59A5" w:rsidP="00AC59A5">
            <w:pPr>
              <w:pStyle w:val="LTU-Cover-Contactdetails"/>
              <w:rPr>
                <w:color w:val="FFFFFF"/>
              </w:rPr>
            </w:pPr>
            <w:r w:rsidRPr="00E51FA9">
              <w:rPr>
                <w:b/>
                <w:bCs/>
                <w:caps/>
                <w:color w:val="FFFFFF"/>
              </w:rPr>
              <w:t>E</w:t>
            </w:r>
            <w:r w:rsidRPr="00E51FA9">
              <w:rPr>
                <w:color w:val="FFFFFF"/>
              </w:rPr>
              <w:tab/>
              <w:t>c.bigby@latrobe.edu.au</w:t>
            </w:r>
          </w:p>
          <w:p w14:paraId="388E23DE" w14:textId="77777777" w:rsidR="00AC59A5" w:rsidRPr="00E51FA9" w:rsidRDefault="00AC59A5" w:rsidP="00AC59A5">
            <w:pPr>
              <w:pStyle w:val="LTU-Cover-Contactdetails"/>
            </w:pPr>
          </w:p>
        </w:tc>
      </w:tr>
    </w:tbl>
    <w:p w14:paraId="474C3383" w14:textId="77777777" w:rsidR="00AC59A5" w:rsidRPr="00E51FA9" w:rsidRDefault="00AC59A5" w:rsidP="00785858">
      <w:pPr>
        <w:widowControl w:val="0"/>
        <w:spacing w:before="120" w:after="120" w:line="360" w:lineRule="auto"/>
        <w:jc w:val="center"/>
        <w:rPr>
          <w:noProof/>
          <w:lang w:eastAsia="en-AU"/>
        </w:rPr>
      </w:pPr>
    </w:p>
    <w:p w14:paraId="2F915145" w14:textId="77777777" w:rsidR="00165C6F" w:rsidRDefault="00165C6F" w:rsidP="00C86BDB">
      <w:pPr>
        <w:spacing w:after="200" w:line="360" w:lineRule="auto"/>
        <w:rPr>
          <w:sz w:val="24"/>
          <w:szCs w:val="22"/>
          <w:lang w:val="en-US"/>
        </w:rPr>
      </w:pPr>
    </w:p>
    <w:p w14:paraId="74E78194" w14:textId="77777777" w:rsidR="00165C6F" w:rsidRDefault="00165C6F" w:rsidP="00C86BDB">
      <w:pPr>
        <w:spacing w:after="200" w:line="360" w:lineRule="auto"/>
        <w:rPr>
          <w:sz w:val="24"/>
          <w:szCs w:val="22"/>
          <w:lang w:val="en-US"/>
        </w:rPr>
      </w:pPr>
    </w:p>
    <w:p w14:paraId="0E18EAF8" w14:textId="174A3328" w:rsidR="00AC59A5" w:rsidRPr="00E51FA9" w:rsidRDefault="00AC59A5" w:rsidP="0019074D">
      <w:pPr>
        <w:spacing w:after="200" w:line="360" w:lineRule="auto"/>
        <w:outlineLvl w:val="0"/>
        <w:rPr>
          <w:sz w:val="24"/>
          <w:szCs w:val="22"/>
          <w:lang w:val="en-US"/>
        </w:rPr>
      </w:pPr>
      <w:r w:rsidRPr="00E51FA9">
        <w:rPr>
          <w:sz w:val="24"/>
          <w:szCs w:val="22"/>
          <w:lang w:val="en-US"/>
        </w:rPr>
        <w:t>Suggested Citation</w:t>
      </w:r>
    </w:p>
    <w:p w14:paraId="548AD4EA" w14:textId="77777777" w:rsidR="00165C6F" w:rsidRDefault="00BD71B9" w:rsidP="00AB6044">
      <w:pPr>
        <w:rPr>
          <w:sz w:val="24"/>
          <w:szCs w:val="24"/>
          <w:lang w:val="en-US"/>
        </w:rPr>
      </w:pPr>
      <w:proofErr w:type="spellStart"/>
      <w:r w:rsidRPr="00E51FA9">
        <w:rPr>
          <w:sz w:val="24"/>
          <w:szCs w:val="24"/>
        </w:rPr>
        <w:t>Arate</w:t>
      </w:r>
      <w:r w:rsidR="008F42DC" w:rsidRPr="00E51FA9">
        <w:rPr>
          <w:sz w:val="24"/>
          <w:szCs w:val="24"/>
        </w:rPr>
        <w:t>n</w:t>
      </w:r>
      <w:proofErr w:type="spellEnd"/>
      <w:r w:rsidR="008F42DC" w:rsidRPr="00E51FA9">
        <w:rPr>
          <w:sz w:val="24"/>
          <w:szCs w:val="24"/>
        </w:rPr>
        <w:t>-</w:t>
      </w:r>
      <w:r w:rsidR="00307090" w:rsidRPr="00E51FA9">
        <w:rPr>
          <w:sz w:val="24"/>
          <w:szCs w:val="24"/>
        </w:rPr>
        <w:t xml:space="preserve">Bergman, T., Bigby, C., </w:t>
      </w:r>
      <w:r w:rsidR="00023FCC" w:rsidRPr="00E51FA9">
        <w:rPr>
          <w:sz w:val="24"/>
          <w:szCs w:val="24"/>
        </w:rPr>
        <w:t>&amp; Ritchie, G.</w:t>
      </w:r>
      <w:r w:rsidR="00023FCC" w:rsidRPr="00E51FA9">
        <w:rPr>
          <w:sz w:val="24"/>
          <w:szCs w:val="24"/>
          <w:lang w:val="en-US"/>
        </w:rPr>
        <w:t xml:space="preserve"> (</w:t>
      </w:r>
      <w:r w:rsidR="00023FCC" w:rsidRPr="00E51FA9">
        <w:rPr>
          <w:sz w:val="24"/>
          <w:szCs w:val="24"/>
        </w:rPr>
        <w:t>2017</w:t>
      </w:r>
      <w:r w:rsidR="00023FCC" w:rsidRPr="00E51FA9">
        <w:rPr>
          <w:sz w:val="24"/>
          <w:szCs w:val="24"/>
          <w:lang w:val="en-US"/>
        </w:rPr>
        <w:t>)</w:t>
      </w:r>
      <w:r w:rsidR="002668B3" w:rsidRPr="00E51FA9">
        <w:rPr>
          <w:sz w:val="24"/>
          <w:szCs w:val="24"/>
        </w:rPr>
        <w:t xml:space="preserve">. </w:t>
      </w:r>
      <w:r w:rsidR="002668B3" w:rsidRPr="00165C6F">
        <w:rPr>
          <w:i/>
          <w:sz w:val="24"/>
          <w:szCs w:val="24"/>
          <w:lang w:val="en-US"/>
        </w:rPr>
        <w:t>Literature Review of Best Practice Supports in Disability Services for the Prevention of Abuse of People with Disability. Report for the Disability Services Commissioner</w:t>
      </w:r>
      <w:r w:rsidR="002668B3" w:rsidRPr="00E51FA9">
        <w:rPr>
          <w:sz w:val="24"/>
          <w:szCs w:val="24"/>
          <w:lang w:val="en-US"/>
        </w:rPr>
        <w:t>.</w:t>
      </w:r>
      <w:r w:rsidR="002668B3" w:rsidRPr="00E51FA9">
        <w:rPr>
          <w:sz w:val="24"/>
          <w:szCs w:val="24"/>
        </w:rPr>
        <w:t xml:space="preserve"> </w:t>
      </w:r>
      <w:r w:rsidR="006055F4" w:rsidRPr="00E51FA9">
        <w:rPr>
          <w:sz w:val="24"/>
          <w:szCs w:val="24"/>
          <w:lang w:val="en-US"/>
        </w:rPr>
        <w:t xml:space="preserve">Living with Disability Research Centre, La Trobe University.   </w:t>
      </w:r>
    </w:p>
    <w:p w14:paraId="25CFB5BF" w14:textId="77777777" w:rsidR="00165C6F" w:rsidRDefault="00165C6F" w:rsidP="00AB6044">
      <w:pPr>
        <w:rPr>
          <w:sz w:val="24"/>
          <w:szCs w:val="24"/>
          <w:lang w:val="en-US"/>
        </w:rPr>
      </w:pPr>
    </w:p>
    <w:p w14:paraId="045F1A45" w14:textId="136FD166" w:rsidR="006055F4" w:rsidRDefault="006055F4" w:rsidP="00AB6044">
      <w:r w:rsidRPr="00E51FA9">
        <w:rPr>
          <w:sz w:val="24"/>
          <w:szCs w:val="24"/>
          <w:lang w:val="en-US"/>
        </w:rPr>
        <w:t xml:space="preserve">Electronic copies of this </w:t>
      </w:r>
      <w:r w:rsidR="00023FCC" w:rsidRPr="00E51FA9">
        <w:rPr>
          <w:sz w:val="24"/>
          <w:szCs w:val="24"/>
          <w:lang w:val="en-US"/>
        </w:rPr>
        <w:t>report</w:t>
      </w:r>
      <w:r w:rsidRPr="00E51FA9">
        <w:rPr>
          <w:sz w:val="24"/>
          <w:szCs w:val="24"/>
          <w:lang w:val="en-US"/>
        </w:rPr>
        <w:t xml:space="preserve"> are available from the La Trobe University Research Repository </w:t>
      </w:r>
    </w:p>
    <w:p w14:paraId="0B0E8466" w14:textId="77777777" w:rsidR="00CF0F21" w:rsidRDefault="008701E6" w:rsidP="00CF0F21">
      <w:pPr>
        <w:rPr>
          <w:lang w:val="en-US"/>
        </w:rPr>
      </w:pPr>
      <w:hyperlink r:id="rId13" w:history="1">
        <w:r w:rsidR="00CF0F21">
          <w:rPr>
            <w:rStyle w:val="Hyperlink"/>
          </w:rPr>
          <w:t>http://hdl.handle.net/1959.9/562870</w:t>
        </w:r>
      </w:hyperlink>
    </w:p>
    <w:p w14:paraId="43C0FFB6" w14:textId="77777777" w:rsidR="00CF0F21" w:rsidRPr="00E51FA9" w:rsidRDefault="00CF0F21" w:rsidP="00AB6044">
      <w:pPr>
        <w:rPr>
          <w:sz w:val="24"/>
          <w:szCs w:val="24"/>
          <w:lang w:val="en-US"/>
        </w:rPr>
      </w:pPr>
    </w:p>
    <w:p w14:paraId="6302F233" w14:textId="69C92B85" w:rsidR="00AB6044" w:rsidRPr="00E51FA9" w:rsidRDefault="00AB6044" w:rsidP="00AB6044">
      <w:pPr>
        <w:rPr>
          <w:sz w:val="24"/>
          <w:szCs w:val="24"/>
          <w:lang w:val="en-US"/>
        </w:rPr>
      </w:pPr>
    </w:p>
    <w:p w14:paraId="65976AD3" w14:textId="224CD978" w:rsidR="00AB6044" w:rsidRPr="00E51FA9" w:rsidRDefault="00AB6044" w:rsidP="00AB6044">
      <w:pPr>
        <w:rPr>
          <w:sz w:val="24"/>
          <w:szCs w:val="24"/>
          <w:lang w:val="en-US"/>
        </w:rPr>
      </w:pPr>
    </w:p>
    <w:p w14:paraId="793F972C" w14:textId="4F75A387" w:rsidR="00AB6044" w:rsidRPr="00E51FA9" w:rsidRDefault="00AB6044">
      <w:pPr>
        <w:spacing w:after="200" w:line="276" w:lineRule="auto"/>
        <w:rPr>
          <w:sz w:val="24"/>
          <w:szCs w:val="24"/>
          <w:lang w:val="en-US"/>
        </w:rPr>
      </w:pPr>
      <w:r w:rsidRPr="00E51FA9">
        <w:rPr>
          <w:sz w:val="24"/>
          <w:szCs w:val="24"/>
          <w:lang w:val="en-US"/>
        </w:rPr>
        <w:br w:type="page"/>
      </w:r>
    </w:p>
    <w:p w14:paraId="1CC94328" w14:textId="1273BF49" w:rsidR="00EE4EE2" w:rsidRPr="003703AF" w:rsidRDefault="00826E31" w:rsidP="003703AF">
      <w:pPr>
        <w:spacing w:line="360" w:lineRule="auto"/>
        <w:jc w:val="center"/>
        <w:rPr>
          <w:b/>
          <w:sz w:val="24"/>
          <w:szCs w:val="24"/>
        </w:rPr>
      </w:pPr>
      <w:bookmarkStart w:id="1" w:name="_Hlk490141734"/>
      <w:r w:rsidRPr="00826E31">
        <w:rPr>
          <w:b/>
          <w:sz w:val="24"/>
          <w:szCs w:val="24"/>
          <w:lang w:val="en-US"/>
        </w:rPr>
        <w:lastRenderedPageBreak/>
        <w:t>Executive summary</w:t>
      </w:r>
    </w:p>
    <w:p w14:paraId="5A588F8F" w14:textId="11F8E9E4" w:rsidR="00EE4EE2" w:rsidRPr="00EE4EE2" w:rsidRDefault="00826E31" w:rsidP="00EE4EE2">
      <w:pPr>
        <w:spacing w:after="60" w:line="360" w:lineRule="auto"/>
        <w:rPr>
          <w:rFonts w:asciiTheme="majorBidi" w:hAnsiTheme="majorBidi" w:cstheme="majorBidi"/>
          <w:b/>
          <w:sz w:val="24"/>
          <w:szCs w:val="24"/>
          <w:lang w:bidi="he-IL"/>
        </w:rPr>
      </w:pPr>
      <w:r w:rsidRPr="00EE4EE2">
        <w:rPr>
          <w:rFonts w:asciiTheme="majorBidi" w:hAnsiTheme="majorBidi" w:cstheme="majorBidi"/>
          <w:b/>
          <w:sz w:val="24"/>
          <w:szCs w:val="24"/>
          <w:lang w:bidi="he-IL"/>
        </w:rPr>
        <w:t>Background</w:t>
      </w:r>
      <w:r w:rsidR="00EE4EE2" w:rsidRPr="00EE4EE2">
        <w:rPr>
          <w:rFonts w:asciiTheme="majorBidi" w:hAnsiTheme="majorBidi" w:cstheme="majorBidi"/>
          <w:b/>
          <w:sz w:val="24"/>
          <w:szCs w:val="24"/>
          <w:lang w:bidi="he-IL"/>
        </w:rPr>
        <w:t xml:space="preserve"> </w:t>
      </w:r>
    </w:p>
    <w:p w14:paraId="61FF6A95" w14:textId="12884CD9" w:rsidR="00826E31" w:rsidRPr="005716C7" w:rsidRDefault="00EE4EE2" w:rsidP="00EE4EE2">
      <w:pPr>
        <w:spacing w:after="60" w:line="360" w:lineRule="auto"/>
        <w:rPr>
          <w:rFonts w:asciiTheme="majorBidi" w:hAnsiTheme="majorBidi" w:cstheme="majorBidi"/>
          <w:sz w:val="24"/>
          <w:szCs w:val="24"/>
          <w:lang w:bidi="he-IL"/>
        </w:rPr>
      </w:pPr>
      <w:r>
        <w:rPr>
          <w:rFonts w:asciiTheme="majorBidi" w:hAnsiTheme="majorBidi" w:cstheme="majorBidi"/>
          <w:sz w:val="24"/>
          <w:szCs w:val="24"/>
          <w:lang w:bidi="he-IL"/>
        </w:rPr>
        <w:t>E</w:t>
      </w:r>
      <w:r w:rsidR="00826E31" w:rsidRPr="005716C7">
        <w:rPr>
          <w:rFonts w:asciiTheme="majorBidi" w:hAnsiTheme="majorBidi" w:cstheme="majorBidi"/>
          <w:sz w:val="24"/>
          <w:szCs w:val="24"/>
          <w:lang w:bidi="he-IL"/>
        </w:rPr>
        <w:t>pidemiological research suggests that compared to the general p</w:t>
      </w:r>
      <w:r w:rsidR="00826E31">
        <w:rPr>
          <w:rFonts w:asciiTheme="majorBidi" w:hAnsiTheme="majorBidi" w:cstheme="majorBidi"/>
          <w:sz w:val="24"/>
          <w:szCs w:val="24"/>
          <w:lang w:bidi="he-IL"/>
        </w:rPr>
        <w:t>opulation people with disabilities</w:t>
      </w:r>
      <w:r w:rsidR="00826E31" w:rsidRPr="005716C7">
        <w:rPr>
          <w:rFonts w:asciiTheme="majorBidi" w:hAnsiTheme="majorBidi" w:cstheme="majorBidi"/>
          <w:sz w:val="24"/>
          <w:szCs w:val="24"/>
          <w:lang w:bidi="he-IL"/>
        </w:rPr>
        <w:t xml:space="preserve"> experience significantly higher rates of abuse </w:t>
      </w:r>
      <w:r w:rsidR="00826E31" w:rsidRPr="00950B73">
        <w:rPr>
          <w:rFonts w:asciiTheme="majorBidi" w:hAnsiTheme="majorBidi" w:cstheme="majorBidi"/>
          <w:sz w:val="24"/>
          <w:szCs w:val="24"/>
          <w:lang w:bidi="he-IL"/>
        </w:rPr>
        <w:t xml:space="preserve">and </w:t>
      </w:r>
      <w:r w:rsidR="00826E31" w:rsidRPr="005716C7">
        <w:rPr>
          <w:rFonts w:asciiTheme="majorBidi" w:hAnsiTheme="majorBidi" w:cstheme="majorBidi"/>
          <w:sz w:val="24"/>
          <w:szCs w:val="24"/>
          <w:lang w:bidi="he-IL"/>
        </w:rPr>
        <w:t>that people with intellectual disabilities</w:t>
      </w:r>
      <w:r w:rsidR="00826E31" w:rsidRPr="005716C7">
        <w:rPr>
          <w:rFonts w:asciiTheme="majorBidi" w:hAnsiTheme="majorBidi" w:cstheme="majorBidi"/>
          <w:sz w:val="24"/>
          <w:szCs w:val="24"/>
        </w:rPr>
        <w:t xml:space="preserve"> </w:t>
      </w:r>
      <w:r>
        <w:rPr>
          <w:rFonts w:asciiTheme="majorBidi" w:hAnsiTheme="majorBidi" w:cstheme="majorBidi"/>
          <w:sz w:val="24"/>
          <w:szCs w:val="24"/>
          <w:lang w:bidi="he-IL"/>
        </w:rPr>
        <w:t>and those who reside</w:t>
      </w:r>
      <w:r w:rsidR="00826E31" w:rsidRPr="005716C7">
        <w:rPr>
          <w:rFonts w:asciiTheme="majorBidi" w:hAnsiTheme="majorBidi" w:cstheme="majorBidi"/>
          <w:sz w:val="24"/>
          <w:szCs w:val="24"/>
          <w:lang w:bidi="he-IL"/>
        </w:rPr>
        <w:t xml:space="preserve"> in residential services</w:t>
      </w:r>
      <w:r w:rsidR="00826E31">
        <w:rPr>
          <w:rFonts w:asciiTheme="majorBidi" w:hAnsiTheme="majorBidi" w:cstheme="majorBidi"/>
          <w:sz w:val="24"/>
          <w:szCs w:val="24"/>
          <w:lang w:bidi="he-IL"/>
        </w:rPr>
        <w:t xml:space="preserve"> </w:t>
      </w:r>
      <w:r w:rsidR="00826E31" w:rsidRPr="005716C7">
        <w:rPr>
          <w:rFonts w:asciiTheme="majorBidi" w:hAnsiTheme="majorBidi" w:cstheme="majorBidi"/>
          <w:sz w:val="24"/>
          <w:szCs w:val="24"/>
          <w:lang w:bidi="he-IL"/>
        </w:rPr>
        <w:t>are at particularly high risk. The socio-ecological framework conceptualised violence and abuse as an outcome of complex interrelationship</w:t>
      </w:r>
      <w:r w:rsidR="00826E31">
        <w:rPr>
          <w:rFonts w:asciiTheme="majorBidi" w:hAnsiTheme="majorBidi" w:cstheme="majorBidi"/>
          <w:sz w:val="24"/>
          <w:szCs w:val="24"/>
          <w:lang w:bidi="he-IL"/>
        </w:rPr>
        <w:t>s</w:t>
      </w:r>
      <w:r w:rsidR="00826E31" w:rsidRPr="005716C7">
        <w:rPr>
          <w:rFonts w:asciiTheme="majorBidi" w:hAnsiTheme="majorBidi" w:cstheme="majorBidi"/>
          <w:sz w:val="24"/>
          <w:szCs w:val="24"/>
          <w:lang w:bidi="he-IL"/>
        </w:rPr>
        <w:t xml:space="preserve"> between individual characteristics, their social and physical environment and the cultural context.</w:t>
      </w:r>
      <w:r w:rsidR="00826E31">
        <w:rPr>
          <w:rFonts w:asciiTheme="majorBidi" w:hAnsiTheme="majorBidi" w:cstheme="majorBidi"/>
          <w:sz w:val="24"/>
          <w:szCs w:val="24"/>
          <w:lang w:bidi="he-IL"/>
        </w:rPr>
        <w:t xml:space="preserve"> </w:t>
      </w:r>
      <w:r w:rsidR="00826E31" w:rsidRPr="005716C7">
        <w:rPr>
          <w:rFonts w:asciiTheme="majorBidi" w:hAnsiTheme="majorBidi" w:cstheme="majorBidi"/>
          <w:sz w:val="24"/>
          <w:szCs w:val="24"/>
          <w:lang w:bidi="he-IL"/>
        </w:rPr>
        <w:t>In recent year</w:t>
      </w:r>
      <w:r w:rsidR="00826E31">
        <w:rPr>
          <w:rFonts w:asciiTheme="majorBidi" w:hAnsiTheme="majorBidi" w:cstheme="majorBidi"/>
          <w:sz w:val="24"/>
          <w:szCs w:val="24"/>
          <w:lang w:bidi="he-IL"/>
        </w:rPr>
        <w:t>s</w:t>
      </w:r>
      <w:r w:rsidR="00826E31" w:rsidRPr="005716C7">
        <w:rPr>
          <w:rFonts w:asciiTheme="majorBidi" w:hAnsiTheme="majorBidi" w:cstheme="majorBidi"/>
          <w:sz w:val="24"/>
          <w:szCs w:val="24"/>
          <w:lang w:bidi="he-IL"/>
        </w:rPr>
        <w:t xml:space="preserve"> policy makers</w:t>
      </w:r>
      <w:r w:rsidR="00826E31">
        <w:rPr>
          <w:rFonts w:asciiTheme="majorBidi" w:hAnsiTheme="majorBidi" w:cstheme="majorBidi"/>
          <w:sz w:val="24"/>
          <w:szCs w:val="24"/>
          <w:lang w:bidi="he-IL"/>
        </w:rPr>
        <w:t>,</w:t>
      </w:r>
      <w:r w:rsidR="00826E31" w:rsidRPr="005716C7">
        <w:rPr>
          <w:rFonts w:asciiTheme="majorBidi" w:hAnsiTheme="majorBidi" w:cstheme="majorBidi"/>
          <w:sz w:val="24"/>
          <w:szCs w:val="24"/>
          <w:lang w:bidi="he-IL"/>
        </w:rPr>
        <w:t xml:space="preserve"> researchers and advocates </w:t>
      </w:r>
      <w:r>
        <w:rPr>
          <w:rFonts w:asciiTheme="majorBidi" w:hAnsiTheme="majorBidi" w:cstheme="majorBidi"/>
          <w:sz w:val="24"/>
          <w:szCs w:val="24"/>
          <w:lang w:bidi="he-IL"/>
        </w:rPr>
        <w:t xml:space="preserve">have </w:t>
      </w:r>
      <w:r w:rsidR="00826E31" w:rsidRPr="005716C7">
        <w:rPr>
          <w:rFonts w:asciiTheme="majorBidi" w:hAnsiTheme="majorBidi" w:cstheme="majorBidi"/>
          <w:sz w:val="24"/>
          <w:szCs w:val="24"/>
          <w:lang w:bidi="he-IL"/>
        </w:rPr>
        <w:t xml:space="preserve">acknowledged the extent of violence against people with </w:t>
      </w:r>
      <w:r w:rsidR="00826E31" w:rsidRPr="00F77918">
        <w:rPr>
          <w:rFonts w:asciiTheme="majorBidi" w:hAnsiTheme="majorBidi" w:cstheme="majorBidi"/>
          <w:sz w:val="24"/>
          <w:szCs w:val="24"/>
          <w:lang w:bidi="he-IL"/>
        </w:rPr>
        <w:t>disabilities</w:t>
      </w:r>
      <w:r w:rsidR="00826E31">
        <w:rPr>
          <w:rFonts w:asciiTheme="majorBidi" w:hAnsiTheme="majorBidi" w:cstheme="majorBidi"/>
          <w:sz w:val="24"/>
          <w:szCs w:val="24"/>
          <w:lang w:bidi="he-IL"/>
        </w:rPr>
        <w:t xml:space="preserve"> with</w:t>
      </w:r>
      <w:r w:rsidR="00826E31" w:rsidRPr="005716C7">
        <w:rPr>
          <w:rFonts w:asciiTheme="majorBidi" w:hAnsiTheme="majorBidi" w:cstheme="majorBidi"/>
          <w:sz w:val="24"/>
          <w:szCs w:val="24"/>
          <w:lang w:bidi="he-IL"/>
        </w:rPr>
        <w:t xml:space="preserve"> a wide array of prevention strategies described in the scholarly and grey literature</w:t>
      </w:r>
      <w:r w:rsidR="00826E31">
        <w:rPr>
          <w:rFonts w:asciiTheme="majorBidi" w:hAnsiTheme="majorBidi" w:cstheme="majorBidi"/>
          <w:sz w:val="24"/>
          <w:szCs w:val="24"/>
          <w:lang w:bidi="he-IL"/>
        </w:rPr>
        <w:t>.</w:t>
      </w:r>
    </w:p>
    <w:p w14:paraId="15318721" w14:textId="52060064" w:rsidR="00EE4EE2" w:rsidRDefault="00EE4EE2" w:rsidP="00EE4EE2">
      <w:pPr>
        <w:spacing w:after="60" w:line="360" w:lineRule="auto"/>
        <w:rPr>
          <w:rFonts w:asciiTheme="majorBidi" w:hAnsiTheme="majorBidi" w:cstheme="majorBidi"/>
          <w:sz w:val="24"/>
          <w:szCs w:val="24"/>
          <w:lang w:bidi="he-IL"/>
        </w:rPr>
      </w:pPr>
      <w:r w:rsidRPr="00EE4EE2">
        <w:rPr>
          <w:rFonts w:asciiTheme="majorBidi" w:hAnsiTheme="majorBidi" w:cstheme="majorBidi"/>
          <w:b/>
          <w:sz w:val="24"/>
          <w:szCs w:val="24"/>
          <w:lang w:bidi="he-IL"/>
        </w:rPr>
        <w:t>Aim</w:t>
      </w:r>
    </w:p>
    <w:p w14:paraId="1EA8C121" w14:textId="03E1765E" w:rsidR="00826E31" w:rsidRPr="005716C7" w:rsidRDefault="00EE4EE2" w:rsidP="00EE4EE2">
      <w:pPr>
        <w:spacing w:after="60" w:line="360" w:lineRule="auto"/>
        <w:rPr>
          <w:rFonts w:asciiTheme="majorBidi" w:hAnsiTheme="majorBidi" w:cstheme="majorBidi"/>
          <w:sz w:val="24"/>
          <w:szCs w:val="24"/>
          <w:u w:val="single"/>
          <w:lang w:bidi="he-IL"/>
        </w:rPr>
      </w:pPr>
      <w:r>
        <w:rPr>
          <w:rFonts w:asciiTheme="majorBidi" w:hAnsiTheme="majorBidi" w:cstheme="majorBidi"/>
          <w:sz w:val="24"/>
          <w:szCs w:val="24"/>
          <w:lang w:bidi="he-IL"/>
        </w:rPr>
        <w:t xml:space="preserve">This </w:t>
      </w:r>
      <w:r w:rsidR="00826E31" w:rsidRPr="005716C7">
        <w:rPr>
          <w:rFonts w:asciiTheme="majorBidi" w:hAnsiTheme="majorBidi" w:cstheme="majorBidi"/>
          <w:sz w:val="24"/>
          <w:szCs w:val="24"/>
          <w:lang w:bidi="he-IL"/>
        </w:rPr>
        <w:t>report aim</w:t>
      </w:r>
      <w:r>
        <w:rPr>
          <w:rFonts w:asciiTheme="majorBidi" w:hAnsiTheme="majorBidi" w:cstheme="majorBidi"/>
          <w:sz w:val="24"/>
          <w:szCs w:val="24"/>
          <w:lang w:bidi="he-IL"/>
        </w:rPr>
        <w:t>s</w:t>
      </w:r>
      <w:r w:rsidR="00826E31" w:rsidRPr="005716C7">
        <w:rPr>
          <w:rFonts w:asciiTheme="majorBidi" w:hAnsiTheme="majorBidi" w:cstheme="majorBidi"/>
          <w:sz w:val="24"/>
          <w:szCs w:val="24"/>
          <w:lang w:bidi="he-IL"/>
        </w:rPr>
        <w:t xml:space="preserve"> to map this broad </w:t>
      </w:r>
      <w:r w:rsidR="00826E31" w:rsidRPr="008256B7">
        <w:rPr>
          <w:rFonts w:asciiTheme="majorBidi" w:hAnsiTheme="majorBidi" w:cstheme="majorBidi"/>
          <w:sz w:val="24"/>
          <w:szCs w:val="24"/>
          <w:lang w:bidi="he-IL"/>
        </w:rPr>
        <w:t xml:space="preserve">literature </w:t>
      </w:r>
      <w:bookmarkStart w:id="2" w:name="_Hlk494206745"/>
      <w:r w:rsidR="00826E31" w:rsidRPr="008256B7">
        <w:rPr>
          <w:rFonts w:asciiTheme="majorBidi" w:hAnsiTheme="majorBidi" w:cstheme="majorBidi"/>
          <w:sz w:val="24"/>
          <w:szCs w:val="24"/>
          <w:lang w:bidi="he-IL"/>
        </w:rPr>
        <w:t xml:space="preserve">on the </w:t>
      </w:r>
      <w:r w:rsidR="00826E31">
        <w:rPr>
          <w:rFonts w:asciiTheme="majorBidi" w:hAnsiTheme="majorBidi" w:cstheme="majorBidi"/>
          <w:sz w:val="24"/>
          <w:szCs w:val="24"/>
          <w:lang w:bidi="he-IL"/>
        </w:rPr>
        <w:t>abuse</w:t>
      </w:r>
      <w:r w:rsidR="00826E31" w:rsidRPr="005716C7">
        <w:rPr>
          <w:rFonts w:asciiTheme="majorBidi" w:hAnsiTheme="majorBidi" w:cstheme="majorBidi"/>
          <w:sz w:val="24"/>
          <w:szCs w:val="24"/>
          <w:lang w:bidi="he-IL"/>
        </w:rPr>
        <w:t xml:space="preserve"> of people with intellectual disabilities and identify</w:t>
      </w:r>
      <w:r w:rsidR="00826E31">
        <w:rPr>
          <w:rFonts w:asciiTheme="majorBidi" w:hAnsiTheme="majorBidi" w:cstheme="majorBidi"/>
          <w:sz w:val="24"/>
          <w:szCs w:val="24"/>
          <w:lang w:bidi="he-IL"/>
        </w:rPr>
        <w:t>:</w:t>
      </w:r>
      <w:r w:rsidR="00826E31" w:rsidRPr="005716C7">
        <w:rPr>
          <w:rFonts w:asciiTheme="majorBidi" w:hAnsiTheme="majorBidi" w:cstheme="majorBidi"/>
          <w:sz w:val="24"/>
          <w:szCs w:val="24"/>
          <w:lang w:bidi="he-IL"/>
        </w:rPr>
        <w:t xml:space="preserve"> 1)</w:t>
      </w:r>
      <w:r w:rsidR="00826E31">
        <w:rPr>
          <w:rFonts w:asciiTheme="majorBidi" w:hAnsiTheme="majorBidi" w:cstheme="majorBidi"/>
          <w:sz w:val="24"/>
          <w:szCs w:val="24"/>
          <w:lang w:bidi="he-IL"/>
        </w:rPr>
        <w:t xml:space="preserve"> </w:t>
      </w:r>
      <w:r>
        <w:rPr>
          <w:rFonts w:asciiTheme="majorBidi" w:hAnsiTheme="majorBidi" w:cstheme="majorBidi"/>
          <w:sz w:val="24"/>
          <w:szCs w:val="24"/>
          <w:lang w:bidi="he-IL"/>
        </w:rPr>
        <w:t>p</w:t>
      </w:r>
      <w:r w:rsidR="00826E31" w:rsidRPr="005716C7">
        <w:rPr>
          <w:rFonts w:asciiTheme="majorBidi" w:hAnsiTheme="majorBidi" w:cstheme="majorBidi"/>
          <w:sz w:val="24"/>
          <w:szCs w:val="24"/>
          <w:lang w:bidi="he-IL"/>
        </w:rPr>
        <w:t>ersonal, environmental and relational aspects</w:t>
      </w:r>
      <w:r w:rsidR="00826E31">
        <w:rPr>
          <w:rFonts w:asciiTheme="majorBidi" w:hAnsiTheme="majorBidi" w:cstheme="majorBidi"/>
          <w:sz w:val="24"/>
          <w:szCs w:val="24"/>
          <w:lang w:bidi="he-IL"/>
        </w:rPr>
        <w:t>,</w:t>
      </w:r>
      <w:r w:rsidR="00826E31" w:rsidRPr="005716C7">
        <w:rPr>
          <w:rFonts w:asciiTheme="majorBidi" w:hAnsiTheme="majorBidi" w:cstheme="majorBidi"/>
          <w:sz w:val="24"/>
          <w:szCs w:val="24"/>
          <w:lang w:bidi="he-IL"/>
        </w:rPr>
        <w:t xml:space="preserve"> as well as factors in service environments and organisational cultures associated with the vulnerability of people with intellectual disabilities to violence and abuse</w:t>
      </w:r>
      <w:r w:rsidR="00826E31">
        <w:rPr>
          <w:rFonts w:asciiTheme="majorBidi" w:hAnsiTheme="majorBidi" w:cstheme="majorBidi"/>
          <w:sz w:val="24"/>
          <w:szCs w:val="24"/>
          <w:lang w:bidi="he-IL"/>
        </w:rPr>
        <w:t xml:space="preserve">; </w:t>
      </w:r>
      <w:r w:rsidR="00826E31" w:rsidRPr="005716C7">
        <w:rPr>
          <w:rFonts w:asciiTheme="majorBidi" w:hAnsiTheme="majorBidi" w:cstheme="majorBidi"/>
          <w:sz w:val="24"/>
          <w:szCs w:val="24"/>
          <w:lang w:bidi="he-IL"/>
        </w:rPr>
        <w:t xml:space="preserve">2) </w:t>
      </w:r>
      <w:r w:rsidR="00826E31" w:rsidRPr="008256B7">
        <w:rPr>
          <w:rFonts w:asciiTheme="majorBidi" w:hAnsiTheme="majorBidi" w:cstheme="majorBidi"/>
          <w:sz w:val="24"/>
          <w:szCs w:val="24"/>
          <w:lang w:bidi="he-IL"/>
        </w:rPr>
        <w:t>preventative</w:t>
      </w:r>
      <w:r w:rsidR="00826E31" w:rsidRPr="005716C7">
        <w:rPr>
          <w:rFonts w:asciiTheme="majorBidi" w:hAnsiTheme="majorBidi" w:cstheme="majorBidi"/>
          <w:sz w:val="24"/>
          <w:szCs w:val="24"/>
          <w:lang w:bidi="he-IL"/>
        </w:rPr>
        <w:t xml:space="preserve"> abuse strategies for people with intellectual disabili</w:t>
      </w:r>
      <w:r w:rsidR="00826E31">
        <w:rPr>
          <w:rFonts w:asciiTheme="majorBidi" w:hAnsiTheme="majorBidi" w:cstheme="majorBidi"/>
          <w:sz w:val="24"/>
          <w:szCs w:val="24"/>
          <w:lang w:bidi="he-IL"/>
        </w:rPr>
        <w:t xml:space="preserve">ties, </w:t>
      </w:r>
      <w:r w:rsidR="003703AF">
        <w:rPr>
          <w:rFonts w:asciiTheme="majorBidi" w:hAnsiTheme="majorBidi" w:cstheme="majorBidi"/>
          <w:sz w:val="24"/>
          <w:szCs w:val="24"/>
          <w:lang w:bidi="he-IL"/>
        </w:rPr>
        <w:t>and, 3</w:t>
      </w:r>
      <w:r>
        <w:rPr>
          <w:rFonts w:asciiTheme="majorBidi" w:hAnsiTheme="majorBidi" w:cstheme="majorBidi"/>
          <w:sz w:val="24"/>
          <w:szCs w:val="24"/>
          <w:lang w:bidi="he-IL"/>
        </w:rPr>
        <w:t xml:space="preserve">) </w:t>
      </w:r>
      <w:r w:rsidR="00826E31">
        <w:rPr>
          <w:rFonts w:asciiTheme="majorBidi" w:hAnsiTheme="majorBidi" w:cstheme="majorBidi"/>
          <w:sz w:val="24"/>
          <w:szCs w:val="24"/>
          <w:lang w:bidi="he-IL"/>
        </w:rPr>
        <w:t xml:space="preserve">review </w:t>
      </w:r>
      <w:r w:rsidR="00826E31" w:rsidRPr="005716C7">
        <w:rPr>
          <w:rFonts w:asciiTheme="majorBidi" w:hAnsiTheme="majorBidi" w:cstheme="majorBidi"/>
          <w:sz w:val="24"/>
          <w:szCs w:val="24"/>
          <w:lang w:bidi="he-IL"/>
        </w:rPr>
        <w:t>the evidence about the quality and effectiveness of these strategies.</w:t>
      </w:r>
      <w:bookmarkEnd w:id="2"/>
    </w:p>
    <w:p w14:paraId="4B49CC80" w14:textId="058517BE" w:rsidR="00EE4EE2" w:rsidRDefault="00EE4EE2" w:rsidP="00EE4EE2">
      <w:pPr>
        <w:spacing w:after="60" w:line="360" w:lineRule="auto"/>
        <w:rPr>
          <w:rFonts w:asciiTheme="majorBidi" w:hAnsiTheme="majorBidi" w:cstheme="majorBidi"/>
          <w:i/>
          <w:sz w:val="24"/>
          <w:szCs w:val="24"/>
          <w:lang w:bidi="he-IL"/>
        </w:rPr>
      </w:pPr>
      <w:r w:rsidRPr="00EE4EE2">
        <w:rPr>
          <w:rFonts w:asciiTheme="majorBidi" w:hAnsiTheme="majorBidi" w:cstheme="majorBidi"/>
          <w:b/>
          <w:sz w:val="24"/>
          <w:szCs w:val="24"/>
          <w:lang w:bidi="he-IL"/>
        </w:rPr>
        <w:t>M</w:t>
      </w:r>
      <w:r w:rsidR="00826E31" w:rsidRPr="00EE4EE2">
        <w:rPr>
          <w:rFonts w:asciiTheme="majorBidi" w:hAnsiTheme="majorBidi" w:cstheme="majorBidi"/>
          <w:b/>
          <w:sz w:val="24"/>
          <w:szCs w:val="24"/>
          <w:lang w:bidi="he-IL"/>
        </w:rPr>
        <w:t>ethod</w:t>
      </w:r>
    </w:p>
    <w:p w14:paraId="4B05D126" w14:textId="693731F9" w:rsidR="00826E31" w:rsidRPr="005716C7" w:rsidRDefault="00826E31" w:rsidP="00EE4EE2">
      <w:pPr>
        <w:spacing w:after="60" w:line="360" w:lineRule="auto"/>
        <w:rPr>
          <w:rFonts w:asciiTheme="majorBidi" w:hAnsiTheme="majorBidi" w:cstheme="majorBidi"/>
          <w:sz w:val="24"/>
          <w:szCs w:val="24"/>
          <w:lang w:bidi="he-IL"/>
        </w:rPr>
      </w:pPr>
      <w:r w:rsidRPr="005716C7">
        <w:rPr>
          <w:rFonts w:asciiTheme="majorBidi" w:hAnsiTheme="majorBidi" w:cstheme="majorBidi"/>
          <w:sz w:val="24"/>
          <w:szCs w:val="24"/>
          <w:lang w:bidi="he-IL"/>
        </w:rPr>
        <w:t xml:space="preserve"> </w:t>
      </w:r>
      <w:r w:rsidR="00EE4EE2">
        <w:rPr>
          <w:rFonts w:asciiTheme="majorBidi" w:hAnsiTheme="majorBidi" w:cstheme="majorBidi"/>
          <w:sz w:val="24"/>
          <w:szCs w:val="24"/>
          <w:lang w:bidi="he-IL"/>
        </w:rPr>
        <w:t xml:space="preserve">A </w:t>
      </w:r>
      <w:r>
        <w:rPr>
          <w:rFonts w:asciiTheme="majorBidi" w:hAnsiTheme="majorBidi" w:cstheme="majorBidi"/>
          <w:sz w:val="24"/>
          <w:szCs w:val="24"/>
          <w:lang w:bidi="he-IL"/>
        </w:rPr>
        <w:t>l</w:t>
      </w:r>
      <w:r w:rsidRPr="005716C7">
        <w:rPr>
          <w:rFonts w:asciiTheme="majorBidi" w:hAnsiTheme="majorBidi" w:cstheme="majorBidi"/>
          <w:sz w:val="24"/>
          <w:szCs w:val="24"/>
          <w:lang w:bidi="he-IL"/>
        </w:rPr>
        <w:t>iterature review was conducted to identify epidemiological data on abuse and its impact</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as well as to identify risk and protective factors for abuse among people with intellectual disabilities in residential care. </w:t>
      </w:r>
      <w:r w:rsidR="00EE4EE2">
        <w:rPr>
          <w:rFonts w:asciiTheme="majorBidi" w:hAnsiTheme="majorBidi" w:cstheme="majorBidi"/>
          <w:sz w:val="24"/>
          <w:szCs w:val="24"/>
          <w:lang w:bidi="he-IL"/>
        </w:rPr>
        <w:t>A</w:t>
      </w:r>
      <w:r w:rsidRPr="005716C7">
        <w:rPr>
          <w:rFonts w:asciiTheme="majorBidi" w:hAnsiTheme="majorBidi" w:cstheme="majorBidi"/>
          <w:sz w:val="24"/>
          <w:szCs w:val="24"/>
          <w:lang w:bidi="he-IL"/>
        </w:rPr>
        <w:t xml:space="preserve"> systematic scoping review was conducted to identify relevant studies publi</w:t>
      </w:r>
      <w:r>
        <w:rPr>
          <w:rFonts w:asciiTheme="majorBidi" w:hAnsiTheme="majorBidi" w:cstheme="majorBidi"/>
          <w:sz w:val="24"/>
          <w:szCs w:val="24"/>
          <w:lang w:bidi="he-IL"/>
        </w:rPr>
        <w:t>shed</w:t>
      </w:r>
      <w:r w:rsidR="00EE4EE2">
        <w:rPr>
          <w:rFonts w:asciiTheme="majorBidi" w:hAnsiTheme="majorBidi" w:cstheme="majorBidi"/>
          <w:sz w:val="24"/>
          <w:szCs w:val="24"/>
          <w:lang w:bidi="he-IL"/>
        </w:rPr>
        <w:t xml:space="preserve"> in the last 10 years</w:t>
      </w:r>
      <w:r>
        <w:rPr>
          <w:rFonts w:asciiTheme="majorBidi" w:hAnsiTheme="majorBidi" w:cstheme="majorBidi"/>
          <w:sz w:val="24"/>
          <w:szCs w:val="24"/>
          <w:lang w:bidi="he-IL"/>
        </w:rPr>
        <w:t xml:space="preserve"> in the peer review and gre</w:t>
      </w:r>
      <w:r w:rsidRPr="005716C7">
        <w:rPr>
          <w:rFonts w:asciiTheme="majorBidi" w:hAnsiTheme="majorBidi" w:cstheme="majorBidi"/>
          <w:sz w:val="24"/>
          <w:szCs w:val="24"/>
          <w:lang w:bidi="he-IL"/>
        </w:rPr>
        <w:t>y literature evaluating abuse prevention intervention</w:t>
      </w:r>
      <w:r w:rsidR="00EE4EE2">
        <w:rPr>
          <w:rFonts w:asciiTheme="majorBidi" w:hAnsiTheme="majorBidi" w:cstheme="majorBidi"/>
          <w:sz w:val="24"/>
          <w:szCs w:val="24"/>
          <w:lang w:bidi="he-IL"/>
        </w:rPr>
        <w:t>s</w:t>
      </w:r>
      <w:r w:rsidRPr="005716C7">
        <w:rPr>
          <w:rFonts w:asciiTheme="majorBidi" w:hAnsiTheme="majorBidi" w:cstheme="majorBidi"/>
          <w:sz w:val="24"/>
          <w:szCs w:val="24"/>
          <w:lang w:bidi="he-IL"/>
        </w:rPr>
        <w:t xml:space="preserve">. </w:t>
      </w:r>
    </w:p>
    <w:p w14:paraId="3935878E" w14:textId="6683AF18" w:rsidR="00826E31" w:rsidRPr="005716C7" w:rsidRDefault="00826E31" w:rsidP="00EE4EE2">
      <w:pPr>
        <w:spacing w:after="60" w:line="360" w:lineRule="auto"/>
        <w:rPr>
          <w:rFonts w:asciiTheme="majorBidi" w:hAnsiTheme="majorBidi" w:cstheme="majorBidi"/>
          <w:sz w:val="24"/>
          <w:szCs w:val="24"/>
          <w:lang w:bidi="he-IL"/>
        </w:rPr>
      </w:pPr>
      <w:r w:rsidRPr="00EE4EE2">
        <w:rPr>
          <w:rFonts w:asciiTheme="majorBidi" w:hAnsiTheme="majorBidi" w:cstheme="majorBidi"/>
          <w:b/>
          <w:sz w:val="24"/>
          <w:szCs w:val="24"/>
          <w:lang w:bidi="he-IL"/>
        </w:rPr>
        <w:t xml:space="preserve">Findings </w:t>
      </w:r>
    </w:p>
    <w:p w14:paraId="559E29E0" w14:textId="14EB8565" w:rsidR="00826E31" w:rsidRPr="005716C7" w:rsidRDefault="00826E31" w:rsidP="00EE4EE2">
      <w:pPr>
        <w:spacing w:after="60" w:line="360" w:lineRule="auto"/>
        <w:rPr>
          <w:rFonts w:asciiTheme="majorBidi" w:hAnsiTheme="majorBidi" w:cstheme="majorBidi"/>
          <w:sz w:val="24"/>
          <w:szCs w:val="24"/>
          <w:u w:val="single"/>
          <w:lang w:bidi="he-IL"/>
        </w:rPr>
      </w:pPr>
      <w:r w:rsidRPr="00495C50">
        <w:rPr>
          <w:rFonts w:asciiTheme="majorBidi" w:hAnsiTheme="majorBidi" w:cstheme="majorBidi"/>
          <w:i/>
          <w:iCs/>
          <w:sz w:val="24"/>
          <w:szCs w:val="24"/>
          <w:lang w:bidi="he-IL"/>
        </w:rPr>
        <w:t>Risk factors for violence and abuse</w:t>
      </w:r>
      <w:r w:rsidR="00EE4EE2">
        <w:rPr>
          <w:rFonts w:asciiTheme="majorBidi" w:hAnsiTheme="majorBidi" w:cstheme="majorBidi"/>
          <w:i/>
          <w:iCs/>
          <w:sz w:val="24"/>
          <w:szCs w:val="24"/>
          <w:lang w:bidi="he-IL"/>
        </w:rPr>
        <w:t xml:space="preserve">. </w:t>
      </w:r>
      <w:r w:rsidR="00EE4EE2">
        <w:rPr>
          <w:rFonts w:asciiTheme="majorBidi" w:hAnsiTheme="majorBidi" w:cstheme="majorBidi"/>
          <w:sz w:val="24"/>
          <w:szCs w:val="24"/>
          <w:lang w:bidi="he-IL"/>
        </w:rPr>
        <w:t>A</w:t>
      </w:r>
      <w:r w:rsidRPr="005716C7">
        <w:rPr>
          <w:rFonts w:asciiTheme="majorBidi" w:hAnsiTheme="majorBidi" w:cstheme="majorBidi"/>
          <w:sz w:val="24"/>
          <w:szCs w:val="24"/>
          <w:lang w:bidi="he-IL"/>
        </w:rPr>
        <w:t xml:space="preserve">n emerging body of literature attempts to understand factors associated with the higher prevalence of abuse against people with intellectual disabilities, in general and in disability services in particular. Most of this literature </w:t>
      </w:r>
      <w:r w:rsidR="004E3C03">
        <w:rPr>
          <w:rFonts w:asciiTheme="majorBidi" w:hAnsiTheme="majorBidi" w:cstheme="majorBidi"/>
          <w:sz w:val="24"/>
          <w:szCs w:val="24"/>
          <w:lang w:bidi="he-IL"/>
        </w:rPr>
        <w:t xml:space="preserve">has its foundations </w:t>
      </w:r>
      <w:r w:rsidRPr="005716C7">
        <w:rPr>
          <w:rFonts w:asciiTheme="majorBidi" w:hAnsiTheme="majorBidi" w:cstheme="majorBidi"/>
          <w:sz w:val="24"/>
          <w:szCs w:val="24"/>
          <w:lang w:bidi="he-IL"/>
        </w:rPr>
        <w:t>in the socio-ecological framework and defines the person’s vulnerability to abuse as an outcome of an interactive process between the social context in which the person lives and a set of underlying personal factors, that when present pl</w:t>
      </w:r>
      <w:r>
        <w:rPr>
          <w:rFonts w:asciiTheme="majorBidi" w:hAnsiTheme="majorBidi" w:cstheme="majorBidi"/>
          <w:sz w:val="24"/>
          <w:szCs w:val="24"/>
          <w:lang w:bidi="he-IL"/>
        </w:rPr>
        <w:t>ace the person at risk of abuse.</w:t>
      </w:r>
    </w:p>
    <w:p w14:paraId="663067F0" w14:textId="6D251ADF" w:rsidR="00A27D0F" w:rsidRPr="00A27D0F" w:rsidRDefault="00826E31" w:rsidP="00A27D0F">
      <w:pPr>
        <w:spacing w:line="360" w:lineRule="auto"/>
        <w:rPr>
          <w:rFonts w:ascii="Calibri" w:eastAsiaTheme="minorHAnsi" w:hAnsi="Calibri"/>
          <w:color w:val="000000"/>
          <w:sz w:val="22"/>
          <w:szCs w:val="22"/>
          <w:lang w:val="en-US"/>
        </w:rPr>
      </w:pPr>
      <w:r w:rsidRPr="00495C50">
        <w:rPr>
          <w:rFonts w:asciiTheme="majorBidi" w:hAnsiTheme="majorBidi" w:cstheme="majorBidi"/>
          <w:i/>
          <w:iCs/>
          <w:sz w:val="24"/>
          <w:szCs w:val="24"/>
          <w:lang w:bidi="he-IL"/>
        </w:rPr>
        <w:t xml:space="preserve">Individuals with disabilities </w:t>
      </w:r>
      <w:r w:rsidR="00EE4EE2">
        <w:rPr>
          <w:rFonts w:asciiTheme="majorBidi" w:hAnsiTheme="majorBidi" w:cstheme="majorBidi"/>
          <w:i/>
          <w:iCs/>
          <w:sz w:val="24"/>
          <w:szCs w:val="24"/>
          <w:lang w:bidi="he-IL"/>
        </w:rPr>
        <w:t xml:space="preserve">- </w:t>
      </w:r>
      <w:r w:rsidRPr="00495C50">
        <w:rPr>
          <w:rFonts w:asciiTheme="majorBidi" w:hAnsiTheme="majorBidi" w:cstheme="majorBidi"/>
          <w:i/>
          <w:iCs/>
          <w:sz w:val="24"/>
          <w:szCs w:val="24"/>
          <w:lang w:bidi="he-IL"/>
        </w:rPr>
        <w:t>personal risk factors</w:t>
      </w:r>
      <w:r w:rsidR="00EE4EE2">
        <w:rPr>
          <w:rFonts w:asciiTheme="majorBidi" w:hAnsiTheme="majorBidi" w:cstheme="majorBidi"/>
          <w:i/>
          <w:iCs/>
          <w:sz w:val="24"/>
          <w:szCs w:val="24"/>
          <w:lang w:bidi="he-IL"/>
        </w:rPr>
        <w:t xml:space="preserve">. </w:t>
      </w:r>
      <w:r w:rsidR="00EE4EE2" w:rsidRPr="00EE4EE2">
        <w:rPr>
          <w:rFonts w:asciiTheme="majorBidi" w:hAnsiTheme="majorBidi" w:cstheme="majorBidi"/>
          <w:iCs/>
          <w:sz w:val="24"/>
          <w:szCs w:val="24"/>
          <w:lang w:bidi="he-IL"/>
        </w:rPr>
        <w:t>S</w:t>
      </w:r>
      <w:r w:rsidRPr="00EE4EE2">
        <w:rPr>
          <w:rFonts w:asciiTheme="majorBidi" w:hAnsiTheme="majorBidi" w:cstheme="majorBidi"/>
          <w:sz w:val="24"/>
          <w:szCs w:val="24"/>
          <w:lang w:bidi="he-IL"/>
        </w:rPr>
        <w:t>o</w:t>
      </w:r>
      <w:r w:rsidRPr="005716C7">
        <w:rPr>
          <w:rFonts w:asciiTheme="majorBidi" w:hAnsiTheme="majorBidi" w:cstheme="majorBidi"/>
          <w:sz w:val="24"/>
          <w:szCs w:val="24"/>
          <w:lang w:bidi="he-IL"/>
        </w:rPr>
        <w:t xml:space="preserve">me scholars have identified </w:t>
      </w:r>
      <w:r>
        <w:rPr>
          <w:rFonts w:asciiTheme="majorBidi" w:hAnsiTheme="majorBidi" w:cstheme="majorBidi"/>
          <w:sz w:val="24"/>
          <w:szCs w:val="24"/>
          <w:lang w:bidi="he-IL"/>
        </w:rPr>
        <w:t>the</w:t>
      </w:r>
      <w:r w:rsidRPr="005716C7">
        <w:rPr>
          <w:rFonts w:asciiTheme="majorBidi" w:hAnsiTheme="majorBidi" w:cstheme="majorBidi"/>
          <w:sz w:val="24"/>
          <w:szCs w:val="24"/>
          <w:lang w:bidi="he-IL"/>
        </w:rPr>
        <w:t xml:space="preserve"> severity of the cognitive impairment and associated characteristics </w:t>
      </w:r>
      <w:r>
        <w:rPr>
          <w:rFonts w:asciiTheme="majorBidi" w:hAnsiTheme="majorBidi" w:cstheme="majorBidi"/>
          <w:sz w:val="24"/>
          <w:szCs w:val="24"/>
          <w:lang w:bidi="he-IL"/>
        </w:rPr>
        <w:t>(</w:t>
      </w:r>
      <w:r w:rsidRPr="005716C7">
        <w:rPr>
          <w:rFonts w:asciiTheme="majorBidi" w:hAnsiTheme="majorBidi" w:cstheme="majorBidi"/>
          <w:sz w:val="24"/>
          <w:szCs w:val="24"/>
          <w:lang w:bidi="he-IL"/>
        </w:rPr>
        <w:t>such as challenging behaviour and communication difficulties</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as risk factors to abuse</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A</w:t>
      </w:r>
      <w:r w:rsidRPr="005716C7">
        <w:rPr>
          <w:rFonts w:asciiTheme="majorBidi" w:hAnsiTheme="majorBidi" w:cstheme="majorBidi"/>
          <w:sz w:val="24"/>
          <w:szCs w:val="24"/>
          <w:lang w:bidi="he-IL"/>
        </w:rPr>
        <w:t>dditionally</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m</w:t>
      </w:r>
      <w:r w:rsidRPr="005716C7">
        <w:rPr>
          <w:rFonts w:asciiTheme="majorBidi" w:hAnsiTheme="majorBidi" w:cstheme="majorBidi"/>
          <w:sz w:val="24"/>
          <w:szCs w:val="24"/>
          <w:lang w:bidi="he-IL"/>
        </w:rPr>
        <w:t>any of the risk factors identified in the general population are particularly prevalent among people with inte</w:t>
      </w:r>
      <w:r>
        <w:rPr>
          <w:rFonts w:asciiTheme="majorBidi" w:hAnsiTheme="majorBidi" w:cstheme="majorBidi"/>
          <w:sz w:val="24"/>
          <w:szCs w:val="24"/>
          <w:lang w:bidi="he-IL"/>
        </w:rPr>
        <w:t>llectual disabilities</w:t>
      </w:r>
      <w:r w:rsidRPr="005716C7">
        <w:rPr>
          <w:rFonts w:asciiTheme="majorBidi" w:hAnsiTheme="majorBidi" w:cstheme="majorBidi"/>
          <w:sz w:val="24"/>
          <w:szCs w:val="24"/>
          <w:lang w:bidi="he-IL"/>
        </w:rPr>
        <w:t xml:space="preserve">. These include poverty, low self-esteem, unemployment, poor-quality health care, exposure to history of </w:t>
      </w:r>
      <w:r w:rsidRPr="005716C7">
        <w:rPr>
          <w:rFonts w:asciiTheme="majorBidi" w:hAnsiTheme="majorBidi" w:cstheme="majorBidi"/>
          <w:sz w:val="24"/>
          <w:szCs w:val="24"/>
          <w:lang w:bidi="he-IL"/>
        </w:rPr>
        <w:lastRenderedPageBreak/>
        <w:t>violence and abuse, restricted access to essential services, dependency on others, smaller social networks, inadequate housing, and social stereotypes of vulnerability.</w:t>
      </w:r>
      <w:r>
        <w:rPr>
          <w:rFonts w:asciiTheme="majorBidi" w:hAnsiTheme="majorBidi" w:cstheme="majorBidi"/>
          <w:sz w:val="24"/>
          <w:szCs w:val="24"/>
          <w:lang w:bidi="he-IL"/>
        </w:rPr>
        <w:t xml:space="preserve"> </w:t>
      </w:r>
      <w:r w:rsidR="00A27D0F">
        <w:rPr>
          <w:rFonts w:asciiTheme="majorBidi" w:hAnsiTheme="majorBidi" w:cstheme="majorBidi"/>
          <w:sz w:val="24"/>
          <w:szCs w:val="24"/>
          <w:lang w:bidi="he-IL"/>
        </w:rPr>
        <w:t>Other r</w:t>
      </w:r>
      <w:r w:rsidRPr="005716C7">
        <w:rPr>
          <w:rFonts w:asciiTheme="majorBidi" w:hAnsiTheme="majorBidi" w:cstheme="majorBidi"/>
          <w:sz w:val="24"/>
          <w:szCs w:val="24"/>
          <w:lang w:bidi="he-IL"/>
        </w:rPr>
        <w:t xml:space="preserve">isk factors </w:t>
      </w:r>
      <w:r w:rsidR="00A27D0F">
        <w:rPr>
          <w:rFonts w:asciiTheme="majorBidi" w:hAnsiTheme="majorBidi" w:cstheme="majorBidi"/>
          <w:sz w:val="24"/>
          <w:szCs w:val="24"/>
          <w:lang w:bidi="he-IL"/>
        </w:rPr>
        <w:t xml:space="preserve">for people with intellectual disability </w:t>
      </w:r>
      <w:r w:rsidRPr="005716C7">
        <w:rPr>
          <w:rFonts w:asciiTheme="majorBidi" w:hAnsiTheme="majorBidi" w:cstheme="majorBidi"/>
          <w:sz w:val="24"/>
          <w:szCs w:val="24"/>
          <w:lang w:bidi="he-IL"/>
        </w:rPr>
        <w:t>are associated with living in residential care services</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social isolation,</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contact with multiple potential perpetrators</w:t>
      </w:r>
      <w:r>
        <w:rPr>
          <w:rFonts w:asciiTheme="majorBidi" w:hAnsiTheme="majorBidi" w:cstheme="majorBidi"/>
          <w:sz w:val="24"/>
          <w:szCs w:val="24"/>
          <w:lang w:bidi="he-IL"/>
        </w:rPr>
        <w:t xml:space="preserve"> and socialis</w:t>
      </w:r>
      <w:r w:rsidRPr="005716C7">
        <w:rPr>
          <w:rFonts w:asciiTheme="majorBidi" w:hAnsiTheme="majorBidi" w:cstheme="majorBidi"/>
          <w:sz w:val="24"/>
          <w:szCs w:val="24"/>
          <w:lang w:bidi="he-IL"/>
        </w:rPr>
        <w:t>ation to</w:t>
      </w:r>
      <w:r w:rsidRPr="005716C7">
        <w:rPr>
          <w:rFonts w:asciiTheme="majorBidi" w:hAnsiTheme="majorBidi" w:cstheme="majorBidi"/>
          <w:sz w:val="24"/>
          <w:szCs w:val="24"/>
        </w:rPr>
        <w:t xml:space="preserve"> </w:t>
      </w:r>
      <w:r w:rsidRPr="005716C7">
        <w:rPr>
          <w:rFonts w:asciiTheme="majorBidi" w:hAnsiTheme="majorBidi" w:cstheme="majorBidi"/>
          <w:sz w:val="24"/>
          <w:szCs w:val="24"/>
          <w:lang w:bidi="he-IL"/>
        </w:rPr>
        <w:t xml:space="preserve">compliance. </w:t>
      </w:r>
      <w:r w:rsidR="00A27D0F" w:rsidRPr="00A27D0F">
        <w:rPr>
          <w:rFonts w:eastAsiaTheme="minorHAnsi"/>
          <w:color w:val="000000"/>
          <w:sz w:val="24"/>
          <w:szCs w:val="24"/>
          <w:lang w:val="en-US"/>
        </w:rPr>
        <w:t xml:space="preserve">Several scholars have </w:t>
      </w:r>
      <w:r w:rsidR="00A27D0F">
        <w:rPr>
          <w:rFonts w:eastAsiaTheme="minorHAnsi"/>
          <w:color w:val="000000"/>
          <w:sz w:val="24"/>
          <w:szCs w:val="24"/>
          <w:lang w:val="en-US"/>
        </w:rPr>
        <w:t xml:space="preserve">also </w:t>
      </w:r>
      <w:r w:rsidR="00A27D0F" w:rsidRPr="00A27D0F">
        <w:rPr>
          <w:rFonts w:eastAsiaTheme="minorHAnsi"/>
          <w:color w:val="000000"/>
          <w:sz w:val="24"/>
          <w:szCs w:val="24"/>
          <w:lang w:val="en-US"/>
        </w:rPr>
        <w:t>suggested higher vulnerability of women to abuse</w:t>
      </w:r>
      <w:r w:rsidR="00230ED0">
        <w:rPr>
          <w:rFonts w:eastAsiaTheme="minorHAnsi"/>
          <w:color w:val="000000"/>
          <w:sz w:val="24"/>
          <w:szCs w:val="24"/>
          <w:lang w:val="en-US"/>
        </w:rPr>
        <w:t xml:space="preserve"> compared to men (Brown &amp; Turk, </w:t>
      </w:r>
      <w:r w:rsidR="00A27D0F" w:rsidRPr="00A27D0F">
        <w:rPr>
          <w:rFonts w:eastAsiaTheme="minorHAnsi"/>
          <w:color w:val="000000"/>
          <w:sz w:val="24"/>
          <w:szCs w:val="24"/>
          <w:lang w:val="en-US"/>
        </w:rPr>
        <w:t>1994; Smith,</w:t>
      </w:r>
      <w:r w:rsidR="00A27D0F">
        <w:rPr>
          <w:rFonts w:eastAsiaTheme="minorHAnsi"/>
          <w:color w:val="000000"/>
          <w:sz w:val="24"/>
          <w:szCs w:val="24"/>
          <w:lang w:val="en-US"/>
        </w:rPr>
        <w:t xml:space="preserve"> </w:t>
      </w:r>
      <w:r w:rsidR="00A27D0F" w:rsidRPr="00A27D0F">
        <w:rPr>
          <w:rFonts w:eastAsiaTheme="minorHAnsi"/>
          <w:color w:val="000000"/>
          <w:sz w:val="24"/>
          <w:szCs w:val="24"/>
          <w:lang w:val="en-US"/>
        </w:rPr>
        <w:t>2008; WWDA, 2017)</w:t>
      </w:r>
      <w:r w:rsidR="00A27D0F">
        <w:rPr>
          <w:rFonts w:eastAsiaTheme="minorHAnsi"/>
          <w:color w:val="000000"/>
          <w:sz w:val="24"/>
          <w:szCs w:val="24"/>
          <w:lang w:val="en-US"/>
        </w:rPr>
        <w:t>. However</w:t>
      </w:r>
      <w:r w:rsidR="00A27D0F" w:rsidRPr="00A27D0F">
        <w:rPr>
          <w:rFonts w:eastAsiaTheme="minorHAnsi"/>
          <w:color w:val="000000"/>
          <w:sz w:val="24"/>
          <w:szCs w:val="24"/>
          <w:lang w:val="en-US"/>
        </w:rPr>
        <w:t>, other epidemiological survey</w:t>
      </w:r>
      <w:r w:rsidR="00A27D0F">
        <w:rPr>
          <w:rFonts w:eastAsiaTheme="minorHAnsi"/>
          <w:color w:val="000000"/>
          <w:sz w:val="24"/>
          <w:szCs w:val="24"/>
          <w:lang w:val="en-US"/>
        </w:rPr>
        <w:t>s</w:t>
      </w:r>
      <w:r w:rsidR="00A27D0F" w:rsidRPr="00A27D0F">
        <w:rPr>
          <w:rFonts w:eastAsiaTheme="minorHAnsi"/>
          <w:color w:val="000000"/>
          <w:sz w:val="24"/>
          <w:szCs w:val="24"/>
          <w:lang w:val="en-US"/>
        </w:rPr>
        <w:t xml:space="preserve"> and reviews </w:t>
      </w:r>
      <w:r w:rsidR="00A27D0F">
        <w:rPr>
          <w:rFonts w:eastAsiaTheme="minorHAnsi"/>
          <w:color w:val="000000"/>
          <w:sz w:val="24"/>
          <w:szCs w:val="24"/>
          <w:lang w:val="en-US"/>
        </w:rPr>
        <w:t xml:space="preserve">have </w:t>
      </w:r>
      <w:r w:rsidR="00A27D0F" w:rsidRPr="00A27D0F">
        <w:rPr>
          <w:rFonts w:eastAsiaTheme="minorHAnsi"/>
          <w:color w:val="000000"/>
          <w:sz w:val="24"/>
          <w:szCs w:val="24"/>
          <w:lang w:val="en-US"/>
        </w:rPr>
        <w:t>failed to document this difference (Hutchison</w:t>
      </w:r>
      <w:r w:rsidR="00A27D0F">
        <w:rPr>
          <w:rFonts w:eastAsiaTheme="minorHAnsi"/>
          <w:color w:val="000000"/>
          <w:sz w:val="24"/>
          <w:szCs w:val="24"/>
          <w:lang w:val="en-US"/>
        </w:rPr>
        <w:t xml:space="preserve"> &amp;</w:t>
      </w:r>
      <w:r w:rsidR="00A27D0F" w:rsidRPr="00A27D0F">
        <w:rPr>
          <w:rFonts w:eastAsiaTheme="minorHAnsi"/>
          <w:color w:val="000000"/>
          <w:sz w:val="24"/>
          <w:szCs w:val="24"/>
          <w:lang w:val="en-US"/>
        </w:rPr>
        <w:t xml:space="preserve"> </w:t>
      </w:r>
      <w:proofErr w:type="spellStart"/>
      <w:r w:rsidR="00A27D0F" w:rsidRPr="00A27D0F">
        <w:rPr>
          <w:rFonts w:eastAsiaTheme="minorHAnsi"/>
          <w:color w:val="000000"/>
          <w:sz w:val="24"/>
          <w:szCs w:val="24"/>
          <w:lang w:val="en-US"/>
        </w:rPr>
        <w:t>Stenfert</w:t>
      </w:r>
      <w:proofErr w:type="spellEnd"/>
      <w:r w:rsidR="00A27D0F" w:rsidRPr="00A27D0F">
        <w:rPr>
          <w:rFonts w:eastAsiaTheme="minorHAnsi"/>
          <w:color w:val="000000"/>
          <w:sz w:val="24"/>
          <w:szCs w:val="24"/>
          <w:lang w:val="en-US"/>
        </w:rPr>
        <w:t xml:space="preserve"> </w:t>
      </w:r>
      <w:proofErr w:type="spellStart"/>
      <w:r w:rsidR="00A27D0F" w:rsidRPr="00A27D0F">
        <w:rPr>
          <w:rFonts w:eastAsiaTheme="minorHAnsi"/>
          <w:color w:val="000000"/>
          <w:sz w:val="24"/>
          <w:szCs w:val="24"/>
          <w:lang w:val="en-US"/>
        </w:rPr>
        <w:t>Kroese</w:t>
      </w:r>
      <w:proofErr w:type="spellEnd"/>
      <w:r w:rsidR="00A27D0F" w:rsidRPr="00A27D0F">
        <w:rPr>
          <w:rFonts w:eastAsiaTheme="minorHAnsi"/>
          <w:color w:val="000000"/>
          <w:sz w:val="24"/>
          <w:szCs w:val="24"/>
          <w:lang w:val="en-US"/>
        </w:rPr>
        <w:t xml:space="preserve">, 2015; </w:t>
      </w:r>
      <w:proofErr w:type="spellStart"/>
      <w:r w:rsidR="00A27D0F" w:rsidRPr="00A27D0F">
        <w:rPr>
          <w:rFonts w:eastAsiaTheme="minorHAnsi"/>
          <w:color w:val="000000"/>
          <w:sz w:val="24"/>
          <w:szCs w:val="24"/>
          <w:lang w:val="en-US"/>
        </w:rPr>
        <w:t>Peckham</w:t>
      </w:r>
      <w:proofErr w:type="spellEnd"/>
      <w:r w:rsidR="00A27D0F" w:rsidRPr="00A27D0F">
        <w:rPr>
          <w:rFonts w:eastAsiaTheme="minorHAnsi"/>
          <w:color w:val="000000"/>
          <w:sz w:val="24"/>
          <w:szCs w:val="24"/>
          <w:lang w:val="en-US"/>
        </w:rPr>
        <w:t>, 2007), hence the association between gender and abuse remain</w:t>
      </w:r>
      <w:r w:rsidR="00A27D0F">
        <w:rPr>
          <w:rFonts w:eastAsiaTheme="minorHAnsi"/>
          <w:color w:val="000000"/>
          <w:sz w:val="24"/>
          <w:szCs w:val="24"/>
          <w:lang w:val="en-US"/>
        </w:rPr>
        <w:t>s</w:t>
      </w:r>
      <w:r w:rsidR="00A27D0F" w:rsidRPr="00A27D0F">
        <w:rPr>
          <w:rFonts w:eastAsiaTheme="minorHAnsi"/>
          <w:color w:val="000000"/>
          <w:sz w:val="24"/>
          <w:szCs w:val="24"/>
          <w:lang w:val="en-US"/>
        </w:rPr>
        <w:t xml:space="preserve"> underdeveloped. A critical examination of the literature reveals several challenges that hamper the ability to draw a conclusion</w:t>
      </w:r>
      <w:r w:rsidR="00A27D0F">
        <w:rPr>
          <w:rFonts w:eastAsiaTheme="minorHAnsi"/>
          <w:color w:val="000000"/>
          <w:sz w:val="24"/>
          <w:szCs w:val="24"/>
          <w:lang w:val="en-US"/>
        </w:rPr>
        <w:t>s</w:t>
      </w:r>
      <w:r w:rsidR="00A27D0F" w:rsidRPr="00A27D0F">
        <w:rPr>
          <w:rFonts w:eastAsiaTheme="minorHAnsi"/>
          <w:color w:val="000000"/>
          <w:sz w:val="24"/>
          <w:szCs w:val="24"/>
          <w:lang w:val="en-US"/>
        </w:rPr>
        <w:t xml:space="preserve"> </w:t>
      </w:r>
      <w:r w:rsidR="00A27D0F">
        <w:rPr>
          <w:rFonts w:eastAsiaTheme="minorHAnsi"/>
          <w:color w:val="000000"/>
          <w:sz w:val="24"/>
          <w:szCs w:val="24"/>
          <w:lang w:val="en-US"/>
        </w:rPr>
        <w:t>about</w:t>
      </w:r>
      <w:r w:rsidR="00A27D0F" w:rsidRPr="00A27D0F">
        <w:rPr>
          <w:rFonts w:eastAsiaTheme="minorHAnsi"/>
          <w:color w:val="000000"/>
          <w:sz w:val="24"/>
          <w:szCs w:val="24"/>
          <w:lang w:val="en-US"/>
        </w:rPr>
        <w:t xml:space="preserve"> the association between gender and vulnerability: first, most of the research conducted in th</w:t>
      </w:r>
      <w:r w:rsidR="00A27D0F">
        <w:rPr>
          <w:rFonts w:eastAsiaTheme="minorHAnsi"/>
          <w:color w:val="000000"/>
          <w:sz w:val="24"/>
          <w:szCs w:val="24"/>
          <w:lang w:val="en-US"/>
        </w:rPr>
        <w:t xml:space="preserve">is </w:t>
      </w:r>
      <w:r w:rsidR="00A27D0F" w:rsidRPr="00A27D0F">
        <w:rPr>
          <w:rFonts w:eastAsiaTheme="minorHAnsi"/>
          <w:color w:val="000000"/>
          <w:sz w:val="24"/>
          <w:szCs w:val="24"/>
          <w:lang w:val="en-US"/>
        </w:rPr>
        <w:t xml:space="preserve">area </w:t>
      </w:r>
      <w:r w:rsidR="00A27D0F">
        <w:rPr>
          <w:rFonts w:eastAsiaTheme="minorHAnsi"/>
          <w:color w:val="000000"/>
          <w:sz w:val="24"/>
          <w:szCs w:val="24"/>
          <w:lang w:val="en-US"/>
        </w:rPr>
        <w:t xml:space="preserve">has </w:t>
      </w:r>
      <w:r w:rsidR="00A27D0F" w:rsidRPr="00A27D0F">
        <w:rPr>
          <w:rFonts w:eastAsiaTheme="minorHAnsi"/>
          <w:color w:val="000000"/>
          <w:sz w:val="24"/>
          <w:szCs w:val="24"/>
          <w:lang w:val="en-US"/>
        </w:rPr>
        <w:t xml:space="preserve">focused on sexual abuse of women with intellectual disability and </w:t>
      </w:r>
      <w:r w:rsidR="00A27D0F">
        <w:rPr>
          <w:rFonts w:eastAsiaTheme="minorHAnsi"/>
          <w:color w:val="000000"/>
          <w:sz w:val="24"/>
          <w:szCs w:val="24"/>
          <w:lang w:val="en-US"/>
        </w:rPr>
        <w:t xml:space="preserve">is </w:t>
      </w:r>
      <w:r w:rsidR="00A27D0F" w:rsidRPr="00A27D0F">
        <w:rPr>
          <w:rFonts w:eastAsiaTheme="minorHAnsi"/>
          <w:color w:val="000000"/>
          <w:sz w:val="24"/>
          <w:szCs w:val="24"/>
          <w:lang w:val="en-US"/>
        </w:rPr>
        <w:t xml:space="preserve">mostly limited to descriptive information retrieved from case records or small qualitative studies of </w:t>
      </w:r>
      <w:r w:rsidR="00A27D0F">
        <w:rPr>
          <w:rFonts w:eastAsiaTheme="minorHAnsi"/>
          <w:color w:val="000000"/>
          <w:sz w:val="24"/>
          <w:szCs w:val="24"/>
          <w:lang w:val="en-US"/>
        </w:rPr>
        <w:t xml:space="preserve">the </w:t>
      </w:r>
      <w:r w:rsidR="00A27D0F" w:rsidRPr="00A27D0F">
        <w:rPr>
          <w:rFonts w:eastAsiaTheme="minorHAnsi"/>
          <w:color w:val="000000"/>
          <w:sz w:val="24"/>
          <w:szCs w:val="24"/>
          <w:lang w:val="en-US"/>
        </w:rPr>
        <w:t>experience</w:t>
      </w:r>
      <w:r w:rsidR="00A27D0F">
        <w:rPr>
          <w:rFonts w:eastAsiaTheme="minorHAnsi"/>
          <w:color w:val="000000"/>
          <w:sz w:val="24"/>
          <w:szCs w:val="24"/>
          <w:lang w:val="en-US"/>
        </w:rPr>
        <w:t>s</w:t>
      </w:r>
      <w:r w:rsidR="00A27D0F" w:rsidRPr="00A27D0F">
        <w:rPr>
          <w:rFonts w:eastAsiaTheme="minorHAnsi"/>
          <w:color w:val="000000"/>
          <w:sz w:val="24"/>
          <w:szCs w:val="24"/>
          <w:lang w:val="en-US"/>
        </w:rPr>
        <w:t xml:space="preserve"> of woman who has been sexually abused (without using control groups</w:t>
      </w:r>
      <w:r w:rsidR="00A27D0F">
        <w:rPr>
          <w:rFonts w:eastAsiaTheme="minorHAnsi"/>
          <w:color w:val="000000"/>
          <w:sz w:val="24"/>
          <w:szCs w:val="24"/>
          <w:lang w:val="en-US"/>
        </w:rPr>
        <w:t>) (</w:t>
      </w:r>
      <w:proofErr w:type="spellStart"/>
      <w:r w:rsidR="00A27D0F">
        <w:rPr>
          <w:rFonts w:eastAsiaTheme="minorHAnsi"/>
          <w:color w:val="000000"/>
          <w:sz w:val="24"/>
          <w:szCs w:val="24"/>
          <w:lang w:val="en-US"/>
        </w:rPr>
        <w:t>Teaster</w:t>
      </w:r>
      <w:proofErr w:type="spellEnd"/>
      <w:r w:rsidR="00A27D0F">
        <w:rPr>
          <w:rFonts w:eastAsiaTheme="minorHAnsi"/>
          <w:color w:val="000000"/>
          <w:sz w:val="24"/>
          <w:szCs w:val="24"/>
          <w:lang w:val="en-US"/>
        </w:rPr>
        <w:t xml:space="preserve"> et a</w:t>
      </w:r>
      <w:r w:rsidR="00A27D0F" w:rsidRPr="00A27D0F">
        <w:rPr>
          <w:rFonts w:eastAsiaTheme="minorHAnsi"/>
          <w:color w:val="000000"/>
          <w:sz w:val="24"/>
          <w:szCs w:val="24"/>
          <w:lang w:val="en-US"/>
        </w:rPr>
        <w:t>l,  2007). Secondly, in many cases the data does not distinguish between different types and severity of disability or residential settings (Hutchison</w:t>
      </w:r>
      <w:r w:rsidR="00A27D0F">
        <w:rPr>
          <w:rFonts w:eastAsiaTheme="minorHAnsi"/>
          <w:color w:val="000000"/>
          <w:sz w:val="24"/>
          <w:szCs w:val="24"/>
          <w:lang w:val="en-US"/>
        </w:rPr>
        <w:t xml:space="preserve"> &amp;</w:t>
      </w:r>
      <w:r w:rsidR="00A27D0F" w:rsidRPr="00A27D0F">
        <w:rPr>
          <w:rFonts w:eastAsiaTheme="minorHAnsi"/>
          <w:color w:val="000000"/>
          <w:sz w:val="24"/>
          <w:szCs w:val="24"/>
          <w:lang w:val="en-US"/>
        </w:rPr>
        <w:t xml:space="preserve"> </w:t>
      </w:r>
      <w:proofErr w:type="spellStart"/>
      <w:r w:rsidR="00A27D0F" w:rsidRPr="00A27D0F">
        <w:rPr>
          <w:rFonts w:eastAsiaTheme="minorHAnsi"/>
          <w:color w:val="000000"/>
          <w:sz w:val="24"/>
          <w:szCs w:val="24"/>
          <w:lang w:val="en-US"/>
        </w:rPr>
        <w:t>Stenfert</w:t>
      </w:r>
      <w:proofErr w:type="spellEnd"/>
      <w:r w:rsidR="00A27D0F" w:rsidRPr="00A27D0F">
        <w:rPr>
          <w:rFonts w:eastAsiaTheme="minorHAnsi"/>
          <w:color w:val="000000"/>
          <w:sz w:val="24"/>
          <w:szCs w:val="24"/>
          <w:lang w:val="en-US"/>
        </w:rPr>
        <w:t xml:space="preserve"> </w:t>
      </w:r>
      <w:proofErr w:type="spellStart"/>
      <w:r w:rsidR="00A27D0F" w:rsidRPr="00A27D0F">
        <w:rPr>
          <w:rFonts w:eastAsiaTheme="minorHAnsi"/>
          <w:color w:val="000000"/>
          <w:sz w:val="24"/>
          <w:szCs w:val="24"/>
          <w:lang w:val="en-US"/>
        </w:rPr>
        <w:t>Kroese</w:t>
      </w:r>
      <w:proofErr w:type="spellEnd"/>
      <w:r w:rsidR="00A27D0F" w:rsidRPr="00A27D0F">
        <w:rPr>
          <w:rFonts w:eastAsiaTheme="minorHAnsi"/>
          <w:color w:val="000000"/>
          <w:sz w:val="24"/>
          <w:szCs w:val="24"/>
          <w:lang w:val="en-US"/>
        </w:rPr>
        <w:t>, 2015). Thirdly, it has been suggested that the existing data may be biased as cases of abuse of men are often not recognised and underreported. Finally, as mentioned above, it seems that statistical prevalence data is limited and does not allow a rigorous comparison between men and women with intellectual disabilities.</w:t>
      </w:r>
    </w:p>
    <w:p w14:paraId="76CAD72C" w14:textId="1D8B03C0" w:rsidR="00826E31" w:rsidRPr="005716C7" w:rsidRDefault="00826E31" w:rsidP="00EE4EE2">
      <w:pPr>
        <w:spacing w:after="60" w:line="360" w:lineRule="auto"/>
        <w:rPr>
          <w:rFonts w:asciiTheme="majorBidi" w:hAnsiTheme="majorBidi" w:cstheme="majorBidi"/>
          <w:sz w:val="24"/>
          <w:szCs w:val="24"/>
          <w:lang w:bidi="he-IL"/>
        </w:rPr>
      </w:pPr>
      <w:r w:rsidRPr="00495C50">
        <w:rPr>
          <w:rFonts w:asciiTheme="majorBidi" w:hAnsiTheme="majorBidi" w:cstheme="majorBidi"/>
          <w:i/>
          <w:iCs/>
          <w:sz w:val="24"/>
          <w:szCs w:val="24"/>
          <w:lang w:bidi="he-IL"/>
        </w:rPr>
        <w:t>Perpetrators of abuse - risk factors</w:t>
      </w:r>
      <w:r w:rsidR="00EE4EE2">
        <w:rPr>
          <w:rFonts w:asciiTheme="majorBidi" w:hAnsiTheme="majorBidi" w:cstheme="majorBidi"/>
          <w:i/>
          <w:iCs/>
          <w:sz w:val="24"/>
          <w:szCs w:val="24"/>
          <w:lang w:bidi="he-IL"/>
        </w:rPr>
        <w:t xml:space="preserve">. </w:t>
      </w:r>
      <w:r w:rsidR="00EE4EE2">
        <w:rPr>
          <w:rFonts w:asciiTheme="majorBidi" w:hAnsiTheme="majorBidi" w:cstheme="majorBidi"/>
          <w:sz w:val="24"/>
          <w:szCs w:val="24"/>
        </w:rPr>
        <w:t>T</w:t>
      </w:r>
      <w:r w:rsidRPr="005716C7">
        <w:rPr>
          <w:rFonts w:asciiTheme="majorBidi" w:hAnsiTheme="majorBidi" w:cstheme="majorBidi"/>
          <w:sz w:val="24"/>
          <w:szCs w:val="24"/>
          <w:lang w:bidi="he-IL"/>
        </w:rPr>
        <w:t xml:space="preserve">he literature suggests that </w:t>
      </w:r>
      <w:r>
        <w:rPr>
          <w:rFonts w:asciiTheme="majorBidi" w:hAnsiTheme="majorBidi" w:cstheme="majorBidi"/>
          <w:sz w:val="24"/>
          <w:szCs w:val="24"/>
          <w:lang w:bidi="he-IL"/>
        </w:rPr>
        <w:t xml:space="preserve">in </w:t>
      </w:r>
      <w:r w:rsidRPr="005716C7">
        <w:rPr>
          <w:rFonts w:asciiTheme="majorBidi" w:hAnsiTheme="majorBidi" w:cstheme="majorBidi"/>
          <w:sz w:val="24"/>
          <w:szCs w:val="24"/>
          <w:lang w:bidi="he-IL"/>
        </w:rPr>
        <w:t>most cases of abuse the perpetrators are known to the victim,</w:t>
      </w:r>
      <w:r>
        <w:rPr>
          <w:rFonts w:asciiTheme="majorBidi" w:hAnsiTheme="majorBidi" w:cstheme="majorBidi"/>
          <w:sz w:val="24"/>
          <w:szCs w:val="24"/>
          <w:lang w:bidi="he-IL"/>
        </w:rPr>
        <w:t xml:space="preserve"> with </w:t>
      </w:r>
      <w:r w:rsidRPr="005716C7">
        <w:rPr>
          <w:rFonts w:asciiTheme="majorBidi" w:hAnsiTheme="majorBidi" w:cstheme="majorBidi"/>
          <w:sz w:val="24"/>
          <w:szCs w:val="24"/>
          <w:lang w:bidi="he-IL"/>
        </w:rPr>
        <w:t xml:space="preserve">multiple studies </w:t>
      </w:r>
      <w:r>
        <w:rPr>
          <w:rFonts w:asciiTheme="majorBidi" w:hAnsiTheme="majorBidi" w:cstheme="majorBidi"/>
          <w:sz w:val="24"/>
          <w:szCs w:val="24"/>
          <w:lang w:bidi="he-IL"/>
        </w:rPr>
        <w:t>identifying</w:t>
      </w:r>
      <w:r w:rsidRPr="005716C7">
        <w:rPr>
          <w:rFonts w:asciiTheme="majorBidi" w:hAnsiTheme="majorBidi" w:cstheme="majorBidi"/>
          <w:sz w:val="24"/>
          <w:szCs w:val="24"/>
          <w:lang w:bidi="he-IL"/>
        </w:rPr>
        <w:t xml:space="preserve"> personal characteristics of perpetrators such as male gender and age</w:t>
      </w:r>
      <w:r>
        <w:rPr>
          <w:rFonts w:asciiTheme="majorBidi" w:hAnsiTheme="majorBidi" w:cstheme="majorBidi"/>
          <w:sz w:val="24"/>
          <w:szCs w:val="24"/>
          <w:lang w:bidi="he-IL"/>
        </w:rPr>
        <w:t xml:space="preserve"> as</w:t>
      </w:r>
      <w:r w:rsidRPr="005716C7">
        <w:rPr>
          <w:rFonts w:asciiTheme="majorBidi" w:hAnsiTheme="majorBidi" w:cstheme="majorBidi"/>
          <w:sz w:val="24"/>
          <w:szCs w:val="24"/>
          <w:lang w:bidi="he-IL"/>
        </w:rPr>
        <w:t xml:space="preserve"> risk factors. In addition, having </w:t>
      </w:r>
      <w:r>
        <w:rPr>
          <w:rFonts w:asciiTheme="majorBidi" w:hAnsiTheme="majorBidi" w:cstheme="majorBidi"/>
          <w:sz w:val="24"/>
          <w:szCs w:val="24"/>
          <w:lang w:bidi="he-IL"/>
        </w:rPr>
        <w:t xml:space="preserve">a </w:t>
      </w:r>
      <w:r w:rsidRPr="005716C7">
        <w:rPr>
          <w:rFonts w:asciiTheme="majorBidi" w:hAnsiTheme="majorBidi" w:cstheme="majorBidi"/>
          <w:sz w:val="24"/>
          <w:szCs w:val="24"/>
          <w:lang w:bidi="he-IL"/>
        </w:rPr>
        <w:t xml:space="preserve">history of abuse as a victim or a </w:t>
      </w:r>
      <w:r w:rsidRPr="00BF79C4">
        <w:rPr>
          <w:rFonts w:asciiTheme="majorBidi" w:hAnsiTheme="majorBidi" w:cstheme="majorBidi"/>
          <w:sz w:val="24"/>
          <w:szCs w:val="24"/>
          <w:lang w:bidi="he-IL"/>
        </w:rPr>
        <w:t>perpetrator was also associated with further incidence of abuse</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Another body of research</w:t>
      </w:r>
      <w:r w:rsidRPr="005716C7">
        <w:rPr>
          <w:rFonts w:asciiTheme="majorBidi" w:hAnsiTheme="majorBidi" w:cstheme="majorBidi"/>
          <w:sz w:val="24"/>
          <w:szCs w:val="24"/>
          <w:lang w:bidi="he-IL"/>
        </w:rPr>
        <w:t xml:space="preserve"> establish</w:t>
      </w:r>
      <w:r>
        <w:rPr>
          <w:rFonts w:asciiTheme="majorBidi" w:hAnsiTheme="majorBidi" w:cstheme="majorBidi"/>
          <w:sz w:val="24"/>
          <w:szCs w:val="24"/>
          <w:lang w:bidi="he-IL"/>
        </w:rPr>
        <w:t xml:space="preserve">ed </w:t>
      </w:r>
      <w:r w:rsidRPr="005716C7">
        <w:rPr>
          <w:rFonts w:asciiTheme="majorBidi" w:hAnsiTheme="majorBidi" w:cstheme="majorBidi"/>
          <w:sz w:val="24"/>
          <w:szCs w:val="24"/>
          <w:lang w:bidi="he-IL"/>
        </w:rPr>
        <w:t>higher prevalence of particular personality traits (</w:t>
      </w:r>
      <w:r>
        <w:rPr>
          <w:rFonts w:asciiTheme="majorBidi" w:hAnsiTheme="majorBidi" w:cstheme="majorBidi"/>
          <w:sz w:val="24"/>
          <w:szCs w:val="24"/>
          <w:lang w:bidi="he-IL"/>
        </w:rPr>
        <w:t>external locus of control</w:t>
      </w:r>
      <w:r w:rsidRPr="005716C7">
        <w:rPr>
          <w:rFonts w:asciiTheme="majorBidi" w:hAnsiTheme="majorBidi" w:cstheme="majorBidi"/>
          <w:sz w:val="24"/>
          <w:szCs w:val="24"/>
          <w:lang w:bidi="he-IL"/>
        </w:rPr>
        <w:t>)</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and personality disorders (psychopathy, narcissism</w:t>
      </w:r>
      <w:r w:rsidRPr="005716C7">
        <w:rPr>
          <w:rFonts w:asciiTheme="majorBidi" w:hAnsiTheme="majorBidi" w:cstheme="majorBidi"/>
          <w:sz w:val="24"/>
          <w:szCs w:val="24"/>
        </w:rPr>
        <w:t xml:space="preserve"> </w:t>
      </w:r>
      <w:r>
        <w:rPr>
          <w:rFonts w:asciiTheme="majorBidi" w:hAnsiTheme="majorBidi" w:cstheme="majorBidi"/>
          <w:sz w:val="24"/>
          <w:szCs w:val="24"/>
          <w:lang w:bidi="he-IL"/>
        </w:rPr>
        <w:t>and sociopathy</w:t>
      </w:r>
      <w:r w:rsidRPr="005716C7">
        <w:rPr>
          <w:rFonts w:asciiTheme="majorBidi" w:hAnsiTheme="majorBidi" w:cstheme="majorBidi"/>
          <w:sz w:val="24"/>
          <w:szCs w:val="24"/>
          <w:lang w:bidi="he-IL"/>
        </w:rPr>
        <w:t>)</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among perpetrators of ab</w:t>
      </w:r>
      <w:r>
        <w:rPr>
          <w:rFonts w:asciiTheme="majorBidi" w:hAnsiTheme="majorBidi" w:cstheme="majorBidi"/>
          <w:sz w:val="24"/>
          <w:szCs w:val="24"/>
          <w:lang w:bidi="he-IL"/>
        </w:rPr>
        <w:t>use.</w:t>
      </w:r>
      <w:r w:rsidRPr="005716C7">
        <w:rPr>
          <w:rFonts w:asciiTheme="majorBidi" w:hAnsiTheme="majorBidi" w:cstheme="majorBidi"/>
          <w:sz w:val="24"/>
          <w:szCs w:val="24"/>
          <w:lang w:bidi="he-IL"/>
        </w:rPr>
        <w:t xml:space="preserve"> </w:t>
      </w:r>
    </w:p>
    <w:p w14:paraId="5EAD9AD5" w14:textId="70785521" w:rsidR="00826E31" w:rsidRPr="005716C7" w:rsidRDefault="00826E31" w:rsidP="00EE4EE2">
      <w:pPr>
        <w:spacing w:after="60" w:line="360" w:lineRule="auto"/>
        <w:rPr>
          <w:rFonts w:asciiTheme="majorBidi" w:hAnsiTheme="majorBidi" w:cstheme="majorBidi"/>
          <w:sz w:val="24"/>
          <w:szCs w:val="24"/>
          <w:lang w:bidi="he-IL"/>
        </w:rPr>
      </w:pPr>
      <w:r w:rsidRPr="00495C50">
        <w:rPr>
          <w:rFonts w:asciiTheme="majorBidi" w:hAnsiTheme="majorBidi" w:cstheme="majorBidi"/>
          <w:i/>
          <w:iCs/>
          <w:sz w:val="24"/>
          <w:szCs w:val="24"/>
          <w:lang w:bidi="he-IL"/>
        </w:rPr>
        <w:t>Organisational environments</w:t>
      </w:r>
      <w:r w:rsidR="00EE4EE2">
        <w:rPr>
          <w:rFonts w:asciiTheme="majorBidi" w:hAnsiTheme="majorBidi" w:cstheme="majorBidi"/>
          <w:i/>
          <w:iCs/>
          <w:sz w:val="24"/>
          <w:szCs w:val="24"/>
          <w:lang w:bidi="he-IL"/>
        </w:rPr>
        <w:t xml:space="preserve"> -</w:t>
      </w:r>
      <w:r w:rsidRPr="00495C50">
        <w:rPr>
          <w:rFonts w:asciiTheme="majorBidi" w:hAnsiTheme="majorBidi" w:cstheme="majorBidi"/>
          <w:i/>
          <w:iCs/>
          <w:sz w:val="24"/>
          <w:szCs w:val="24"/>
          <w:lang w:bidi="he-IL"/>
        </w:rPr>
        <w:t xml:space="preserve"> risks or protective factors</w:t>
      </w:r>
      <w:r w:rsidR="00EE4EE2">
        <w:rPr>
          <w:rFonts w:asciiTheme="majorBidi" w:hAnsiTheme="majorBidi" w:cstheme="majorBidi"/>
          <w:i/>
          <w:iCs/>
          <w:sz w:val="24"/>
          <w:szCs w:val="24"/>
          <w:lang w:bidi="he-IL"/>
        </w:rPr>
        <w:t xml:space="preserve">. </w:t>
      </w:r>
      <w:r w:rsidR="00EE4EE2">
        <w:rPr>
          <w:rFonts w:asciiTheme="majorBidi" w:hAnsiTheme="majorBidi" w:cstheme="majorBidi"/>
          <w:sz w:val="24"/>
          <w:szCs w:val="24"/>
        </w:rPr>
        <w:t>R</w:t>
      </w:r>
      <w:r w:rsidRPr="005716C7">
        <w:rPr>
          <w:rFonts w:asciiTheme="majorBidi" w:hAnsiTheme="majorBidi" w:cstheme="majorBidi"/>
          <w:sz w:val="24"/>
          <w:szCs w:val="24"/>
        </w:rPr>
        <w:t xml:space="preserve">esearch on </w:t>
      </w:r>
      <w:r w:rsidRPr="005716C7">
        <w:rPr>
          <w:rFonts w:asciiTheme="majorBidi" w:hAnsiTheme="majorBidi" w:cstheme="majorBidi"/>
          <w:sz w:val="24"/>
          <w:szCs w:val="24"/>
          <w:lang w:bidi="he-IL"/>
        </w:rPr>
        <w:t>the quality of s</w:t>
      </w:r>
      <w:r>
        <w:rPr>
          <w:rFonts w:asciiTheme="majorBidi" w:hAnsiTheme="majorBidi" w:cstheme="majorBidi"/>
          <w:sz w:val="24"/>
          <w:szCs w:val="24"/>
          <w:lang w:bidi="he-IL"/>
        </w:rPr>
        <w:t>upported accommodation services</w:t>
      </w:r>
      <w:r w:rsidRPr="005716C7">
        <w:rPr>
          <w:rFonts w:asciiTheme="majorBidi" w:hAnsiTheme="majorBidi" w:cstheme="majorBidi"/>
          <w:sz w:val="24"/>
          <w:szCs w:val="24"/>
          <w:lang w:bidi="he-IL"/>
        </w:rPr>
        <w:t xml:space="preserve"> has identified a bewildering array of interacting variables associated with </w:t>
      </w:r>
      <w:r>
        <w:rPr>
          <w:rFonts w:asciiTheme="majorBidi" w:hAnsiTheme="majorBidi" w:cstheme="majorBidi"/>
          <w:sz w:val="24"/>
          <w:szCs w:val="24"/>
          <w:lang w:bidi="he-IL"/>
        </w:rPr>
        <w:t>resident outcome</w:t>
      </w:r>
      <w:r w:rsidR="00E12235">
        <w:rPr>
          <w:rFonts w:asciiTheme="majorBidi" w:hAnsiTheme="majorBidi" w:cstheme="majorBidi"/>
          <w:sz w:val="24"/>
          <w:szCs w:val="24"/>
          <w:lang w:bidi="he-IL"/>
        </w:rPr>
        <w:t>s</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 xml:space="preserve">abuse </w:t>
      </w:r>
      <w:r>
        <w:rPr>
          <w:rFonts w:asciiTheme="majorBidi" w:hAnsiTheme="majorBidi" w:cstheme="majorBidi"/>
          <w:sz w:val="24"/>
          <w:szCs w:val="24"/>
          <w:lang w:bidi="he-IL"/>
        </w:rPr>
        <w:t xml:space="preserve">or </w:t>
      </w:r>
      <w:r w:rsidR="003E75F1">
        <w:rPr>
          <w:rFonts w:asciiTheme="majorBidi" w:hAnsiTheme="majorBidi" w:cstheme="majorBidi"/>
          <w:sz w:val="24"/>
          <w:szCs w:val="24"/>
          <w:lang w:bidi="he-IL"/>
        </w:rPr>
        <w:t>opposite</w:t>
      </w:r>
      <w:r w:rsidRPr="005716C7">
        <w:rPr>
          <w:rFonts w:asciiTheme="majorBidi" w:hAnsiTheme="majorBidi" w:cstheme="majorBidi"/>
          <w:sz w:val="24"/>
          <w:szCs w:val="24"/>
          <w:lang w:bidi="he-IL"/>
        </w:rPr>
        <w:t xml:space="preserve"> quality of life and safety</w:t>
      </w:r>
      <w:r>
        <w:rPr>
          <w:rFonts w:asciiTheme="majorBidi" w:hAnsiTheme="majorBidi" w:cstheme="majorBidi"/>
          <w:sz w:val="24"/>
          <w:szCs w:val="24"/>
          <w:lang w:bidi="he-IL"/>
        </w:rPr>
        <w:t>)</w:t>
      </w:r>
      <w:r w:rsidRPr="005716C7">
        <w:rPr>
          <w:rFonts w:asciiTheme="majorBidi" w:hAnsiTheme="majorBidi" w:cstheme="majorBidi"/>
          <w:sz w:val="24"/>
          <w:szCs w:val="24"/>
          <w:lang w:bidi="he-IL"/>
        </w:rPr>
        <w:t>. These indicators may be captured under the</w:t>
      </w:r>
      <w:r>
        <w:rPr>
          <w:rFonts w:asciiTheme="majorBidi" w:hAnsiTheme="majorBidi" w:cstheme="majorBidi"/>
          <w:sz w:val="24"/>
          <w:szCs w:val="24"/>
          <w:lang w:bidi="he-IL"/>
        </w:rPr>
        <w:t xml:space="preserve"> conceptual framework of organis</w:t>
      </w:r>
      <w:r w:rsidRPr="005716C7">
        <w:rPr>
          <w:rFonts w:asciiTheme="majorBidi" w:hAnsiTheme="majorBidi" w:cstheme="majorBidi"/>
          <w:sz w:val="24"/>
          <w:szCs w:val="24"/>
          <w:lang w:bidi="he-IL"/>
        </w:rPr>
        <w:t>ational culture. Research has identified associated cultural indicators, including the skills and attitudes of managers, skills and training of staff, or</w:t>
      </w:r>
      <w:r>
        <w:rPr>
          <w:rFonts w:asciiTheme="majorBidi" w:hAnsiTheme="majorBidi" w:cstheme="majorBidi"/>
          <w:sz w:val="24"/>
          <w:szCs w:val="24"/>
          <w:lang w:bidi="he-IL"/>
        </w:rPr>
        <w:t>ganisational procedures, values and</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care philosophies. T</w:t>
      </w:r>
      <w:r w:rsidRPr="005716C7">
        <w:rPr>
          <w:rFonts w:asciiTheme="majorBidi" w:hAnsiTheme="majorBidi" w:cstheme="majorBidi"/>
          <w:sz w:val="24"/>
          <w:szCs w:val="24"/>
          <w:lang w:bidi="he-IL"/>
        </w:rPr>
        <w:t>hese indicators found in the literature were evaluated using rigorous observational methods in Australian group homes</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w:t>
      </w:r>
      <w:r w:rsidRPr="00A751B5">
        <w:rPr>
          <w:rFonts w:asciiTheme="majorBidi" w:hAnsiTheme="majorBidi" w:cstheme="majorBidi"/>
          <w:sz w:val="24"/>
          <w:szCs w:val="24"/>
          <w:lang w:bidi="he-IL"/>
        </w:rPr>
        <w:t>This research has culminated</w:t>
      </w:r>
      <w:r w:rsidRPr="005716C7">
        <w:rPr>
          <w:rFonts w:asciiTheme="majorBidi" w:hAnsiTheme="majorBidi" w:cstheme="majorBidi"/>
          <w:sz w:val="24"/>
          <w:szCs w:val="24"/>
          <w:lang w:bidi="he-IL"/>
        </w:rPr>
        <w:t xml:space="preserve"> in five evidence-based </w:t>
      </w:r>
      <w:r>
        <w:rPr>
          <w:rFonts w:asciiTheme="majorBidi" w:hAnsiTheme="majorBidi" w:cstheme="majorBidi"/>
          <w:sz w:val="24"/>
          <w:szCs w:val="24"/>
          <w:lang w:bidi="he-IL"/>
        </w:rPr>
        <w:t>dimensions</w:t>
      </w:r>
      <w:r w:rsidRPr="005716C7">
        <w:rPr>
          <w:rFonts w:asciiTheme="majorBidi" w:hAnsiTheme="majorBidi" w:cstheme="majorBidi"/>
          <w:sz w:val="24"/>
          <w:szCs w:val="24"/>
          <w:lang w:bidi="he-IL"/>
        </w:rPr>
        <w:t xml:space="preserve"> of </w:t>
      </w:r>
      <w:r>
        <w:rPr>
          <w:rFonts w:asciiTheme="majorBidi" w:hAnsiTheme="majorBidi" w:cstheme="majorBidi"/>
          <w:sz w:val="24"/>
          <w:szCs w:val="24"/>
          <w:lang w:bidi="he-IL"/>
        </w:rPr>
        <w:t xml:space="preserve">organisational </w:t>
      </w:r>
      <w:r w:rsidRPr="005716C7">
        <w:rPr>
          <w:rFonts w:asciiTheme="majorBidi" w:hAnsiTheme="majorBidi" w:cstheme="majorBidi"/>
          <w:sz w:val="24"/>
          <w:szCs w:val="24"/>
          <w:lang w:bidi="he-IL"/>
        </w:rPr>
        <w:t>culture</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1) </w:t>
      </w:r>
      <w:r w:rsidRPr="005716C7">
        <w:rPr>
          <w:rFonts w:asciiTheme="majorBidi" w:hAnsiTheme="majorBidi" w:cstheme="majorBidi"/>
          <w:sz w:val="24"/>
          <w:szCs w:val="24"/>
          <w:lang w:bidi="he-IL"/>
        </w:rPr>
        <w:t>Alignment of power holder values</w:t>
      </w:r>
      <w:r>
        <w:rPr>
          <w:rFonts w:asciiTheme="majorBidi" w:hAnsiTheme="majorBidi" w:cstheme="majorBidi"/>
          <w:sz w:val="24"/>
          <w:szCs w:val="24"/>
          <w:lang w:bidi="he-IL"/>
        </w:rPr>
        <w:t>; 2)</w:t>
      </w:r>
      <w:r w:rsidRPr="005716C7">
        <w:rPr>
          <w:rFonts w:asciiTheme="majorBidi" w:hAnsiTheme="majorBidi" w:cstheme="majorBidi"/>
          <w:sz w:val="24"/>
          <w:szCs w:val="24"/>
          <w:lang w:bidi="he-IL"/>
        </w:rPr>
        <w:t xml:space="preserve"> Regard for residents</w:t>
      </w:r>
      <w:r>
        <w:rPr>
          <w:rFonts w:asciiTheme="majorBidi" w:hAnsiTheme="majorBidi" w:cstheme="majorBidi"/>
          <w:sz w:val="24"/>
          <w:szCs w:val="24"/>
          <w:lang w:bidi="he-IL"/>
        </w:rPr>
        <w:t>; 3)</w:t>
      </w:r>
      <w:r w:rsidRPr="005716C7">
        <w:rPr>
          <w:rFonts w:asciiTheme="majorBidi" w:hAnsiTheme="majorBidi" w:cstheme="majorBidi"/>
          <w:sz w:val="24"/>
          <w:szCs w:val="24"/>
          <w:lang w:bidi="he-IL"/>
        </w:rPr>
        <w:t xml:space="preserve"> Perceived </w:t>
      </w:r>
      <w:r>
        <w:rPr>
          <w:rFonts w:asciiTheme="majorBidi" w:hAnsiTheme="majorBidi" w:cstheme="majorBidi"/>
          <w:sz w:val="24"/>
          <w:szCs w:val="24"/>
          <w:lang w:bidi="he-IL"/>
        </w:rPr>
        <w:t xml:space="preserve">purpose; 4) Working practice; 5) </w:t>
      </w:r>
      <w:r w:rsidRPr="005716C7">
        <w:rPr>
          <w:rFonts w:asciiTheme="majorBidi" w:hAnsiTheme="majorBidi" w:cstheme="majorBidi"/>
          <w:sz w:val="24"/>
          <w:szCs w:val="24"/>
          <w:lang w:bidi="he-IL"/>
        </w:rPr>
        <w:t>Orientation to change and ideas</w:t>
      </w:r>
      <w:r>
        <w:rPr>
          <w:rFonts w:asciiTheme="majorBidi" w:hAnsiTheme="majorBidi" w:cstheme="majorBidi"/>
          <w:sz w:val="24"/>
          <w:szCs w:val="24"/>
          <w:lang w:bidi="he-IL"/>
        </w:rPr>
        <w:t>.</w:t>
      </w:r>
    </w:p>
    <w:p w14:paraId="4519D44A" w14:textId="09BE3353" w:rsidR="00826E31" w:rsidRPr="00495C50" w:rsidRDefault="00826E31" w:rsidP="00EE4EE2">
      <w:pPr>
        <w:spacing w:after="60" w:line="360" w:lineRule="auto"/>
        <w:rPr>
          <w:rFonts w:asciiTheme="majorBidi" w:hAnsiTheme="majorBidi" w:cstheme="majorBidi"/>
          <w:i/>
          <w:iCs/>
          <w:sz w:val="24"/>
          <w:szCs w:val="24"/>
          <w:lang w:bidi="he-IL"/>
        </w:rPr>
      </w:pPr>
      <w:r w:rsidRPr="00495C50">
        <w:rPr>
          <w:rFonts w:asciiTheme="majorBidi" w:hAnsiTheme="majorBidi" w:cstheme="majorBidi"/>
          <w:i/>
          <w:iCs/>
          <w:sz w:val="24"/>
          <w:szCs w:val="24"/>
          <w:lang w:bidi="he-IL"/>
        </w:rPr>
        <w:lastRenderedPageBreak/>
        <w:t>Preventative abuse strategies for people with intellectual disabilities</w:t>
      </w:r>
      <w:r w:rsidR="00EE4EE2">
        <w:rPr>
          <w:rFonts w:asciiTheme="majorBidi" w:hAnsiTheme="majorBidi" w:cstheme="majorBidi"/>
          <w:i/>
          <w:iCs/>
          <w:sz w:val="24"/>
          <w:szCs w:val="24"/>
          <w:lang w:bidi="he-IL"/>
        </w:rPr>
        <w:t xml:space="preserve">. </w:t>
      </w:r>
      <w:r w:rsidR="00EE4EE2">
        <w:rPr>
          <w:rFonts w:asciiTheme="majorBidi" w:hAnsiTheme="majorBidi" w:cstheme="majorBidi"/>
          <w:sz w:val="24"/>
          <w:szCs w:val="24"/>
          <w:lang w:bidi="he-IL"/>
        </w:rPr>
        <w:t>T</w:t>
      </w:r>
      <w:r w:rsidRPr="005716C7">
        <w:rPr>
          <w:rFonts w:asciiTheme="majorBidi" w:hAnsiTheme="majorBidi" w:cstheme="majorBidi"/>
          <w:sz w:val="24"/>
          <w:szCs w:val="24"/>
          <w:lang w:bidi="he-IL"/>
        </w:rPr>
        <w:t>he systematic search for evaluations of the effectiveness of interventions to prevent abuse against persons with intellectual disabilities identified six studies that met the inclusion criteria</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T</w:t>
      </w:r>
      <w:r w:rsidRPr="005716C7">
        <w:rPr>
          <w:rFonts w:asciiTheme="majorBidi" w:hAnsiTheme="majorBidi" w:cstheme="majorBidi"/>
          <w:sz w:val="24"/>
          <w:szCs w:val="24"/>
          <w:lang w:bidi="he-IL"/>
        </w:rPr>
        <w:t>hese</w:t>
      </w:r>
      <w:r>
        <w:rPr>
          <w:rFonts w:asciiTheme="majorBidi" w:hAnsiTheme="majorBidi" w:cstheme="majorBidi"/>
          <w:sz w:val="24"/>
          <w:szCs w:val="24"/>
          <w:lang w:bidi="he-IL"/>
        </w:rPr>
        <w:t xml:space="preserve"> studies can be categoris</w:t>
      </w:r>
      <w:r w:rsidRPr="005716C7">
        <w:rPr>
          <w:rFonts w:asciiTheme="majorBidi" w:hAnsiTheme="majorBidi" w:cstheme="majorBidi"/>
          <w:sz w:val="24"/>
          <w:szCs w:val="24"/>
          <w:lang w:bidi="he-IL"/>
        </w:rPr>
        <w:t>ed into three groups based on methods of</w:t>
      </w:r>
      <w:r>
        <w:rPr>
          <w:rFonts w:asciiTheme="majorBidi" w:hAnsiTheme="majorBidi" w:cstheme="majorBidi"/>
          <w:sz w:val="24"/>
          <w:szCs w:val="24"/>
          <w:lang w:bidi="he-IL"/>
        </w:rPr>
        <w:t xml:space="preserve"> training and target population: 1) </w:t>
      </w:r>
      <w:r w:rsidRPr="005716C7">
        <w:rPr>
          <w:rFonts w:asciiTheme="majorBidi" w:hAnsiTheme="majorBidi" w:cstheme="majorBidi"/>
          <w:sz w:val="24"/>
          <w:szCs w:val="24"/>
          <w:lang w:bidi="he-IL"/>
        </w:rPr>
        <w:t>Behavioural-skills training; 2)</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Train</w:t>
      </w:r>
      <w:r>
        <w:rPr>
          <w:rFonts w:asciiTheme="majorBidi" w:hAnsiTheme="majorBidi" w:cstheme="majorBidi"/>
          <w:sz w:val="24"/>
          <w:szCs w:val="24"/>
          <w:lang w:bidi="he-IL"/>
        </w:rPr>
        <w:t>ing using a cognitively oriented decision-making</w:t>
      </w:r>
      <w:r w:rsidRPr="005716C7">
        <w:rPr>
          <w:rFonts w:asciiTheme="majorBidi" w:hAnsiTheme="majorBidi" w:cstheme="majorBidi"/>
          <w:sz w:val="24"/>
          <w:szCs w:val="24"/>
          <w:lang w:bidi="he-IL"/>
        </w:rPr>
        <w:t>; and 3)</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 xml:space="preserve">Psycho-education training for </w:t>
      </w:r>
      <w:r w:rsidRPr="00A77440">
        <w:rPr>
          <w:rFonts w:asciiTheme="majorBidi" w:hAnsiTheme="majorBidi" w:cstheme="majorBidi"/>
          <w:sz w:val="24"/>
          <w:szCs w:val="24"/>
          <w:lang w:bidi="he-IL"/>
        </w:rPr>
        <w:t>care staff or individuals with</w:t>
      </w:r>
      <w:r w:rsidRPr="005716C7">
        <w:rPr>
          <w:rFonts w:asciiTheme="majorBidi" w:hAnsiTheme="majorBidi" w:cstheme="majorBidi"/>
          <w:sz w:val="24"/>
          <w:szCs w:val="24"/>
          <w:lang w:bidi="he-IL"/>
        </w:rPr>
        <w:t xml:space="preserve"> i</w:t>
      </w:r>
      <w:r>
        <w:rPr>
          <w:rFonts w:asciiTheme="majorBidi" w:hAnsiTheme="majorBidi" w:cstheme="majorBidi"/>
          <w:sz w:val="24"/>
          <w:szCs w:val="24"/>
          <w:lang w:bidi="he-IL"/>
        </w:rPr>
        <w:t>ntellectual disabilities.</w:t>
      </w:r>
    </w:p>
    <w:p w14:paraId="06EE0E86" w14:textId="77777777" w:rsidR="00EE4EE2" w:rsidRDefault="00826E31" w:rsidP="00EE4EE2">
      <w:pPr>
        <w:spacing w:after="60" w:line="360" w:lineRule="auto"/>
        <w:rPr>
          <w:rFonts w:asciiTheme="majorBidi" w:hAnsiTheme="majorBidi" w:cstheme="majorBidi"/>
          <w:b/>
          <w:sz w:val="24"/>
          <w:szCs w:val="24"/>
          <w:lang w:bidi="he-IL"/>
        </w:rPr>
      </w:pPr>
      <w:r w:rsidRPr="00EE4EE2">
        <w:rPr>
          <w:rFonts w:asciiTheme="majorBidi" w:hAnsiTheme="majorBidi" w:cstheme="majorBidi"/>
          <w:b/>
          <w:sz w:val="24"/>
          <w:szCs w:val="24"/>
          <w:lang w:bidi="he-IL"/>
        </w:rPr>
        <w:t>Discussion and conclusio</w:t>
      </w:r>
      <w:r w:rsidR="00EE4EE2">
        <w:rPr>
          <w:rFonts w:asciiTheme="majorBidi" w:hAnsiTheme="majorBidi" w:cstheme="majorBidi"/>
          <w:b/>
          <w:sz w:val="24"/>
          <w:szCs w:val="24"/>
          <w:lang w:bidi="he-IL"/>
        </w:rPr>
        <w:t>n</w:t>
      </w:r>
    </w:p>
    <w:p w14:paraId="0AF1FED7" w14:textId="451A40E2" w:rsidR="00826E31" w:rsidRPr="005716C7" w:rsidRDefault="00EE4EE2" w:rsidP="00EE4EE2">
      <w:pPr>
        <w:spacing w:after="60" w:line="360" w:lineRule="auto"/>
        <w:rPr>
          <w:rFonts w:asciiTheme="majorBidi" w:hAnsiTheme="majorBidi" w:cstheme="majorBidi"/>
          <w:sz w:val="24"/>
          <w:szCs w:val="24"/>
          <w:lang w:bidi="he-IL"/>
        </w:rPr>
      </w:pPr>
      <w:r>
        <w:rPr>
          <w:rFonts w:asciiTheme="majorBidi" w:hAnsiTheme="majorBidi" w:cstheme="majorBidi"/>
          <w:sz w:val="24"/>
          <w:szCs w:val="24"/>
          <w:lang w:bidi="he-IL"/>
        </w:rPr>
        <w:t>T</w:t>
      </w:r>
      <w:r w:rsidR="00826E31" w:rsidRPr="005716C7">
        <w:rPr>
          <w:rFonts w:asciiTheme="majorBidi" w:hAnsiTheme="majorBidi" w:cstheme="majorBidi"/>
          <w:sz w:val="24"/>
          <w:szCs w:val="24"/>
          <w:lang w:bidi="he-IL"/>
        </w:rPr>
        <w:t>he review reveals that the noti</w:t>
      </w:r>
      <w:r w:rsidR="00826E31">
        <w:rPr>
          <w:rFonts w:asciiTheme="majorBidi" w:hAnsiTheme="majorBidi" w:cstheme="majorBidi"/>
          <w:sz w:val="24"/>
          <w:szCs w:val="24"/>
          <w:lang w:bidi="he-IL"/>
        </w:rPr>
        <w:t>on of prevention strategies has</w:t>
      </w:r>
      <w:r w:rsidR="00826E31" w:rsidRPr="005716C7">
        <w:rPr>
          <w:rFonts w:asciiTheme="majorBidi" w:hAnsiTheme="majorBidi" w:cstheme="majorBidi"/>
          <w:sz w:val="24"/>
          <w:szCs w:val="24"/>
          <w:lang w:bidi="he-IL"/>
        </w:rPr>
        <w:t xml:space="preserve"> been discussed in the peer-reviewed and grey literature, and many intervention strategies have been designed and implemented over the years</w:t>
      </w:r>
      <w:r>
        <w:rPr>
          <w:rFonts w:asciiTheme="majorBidi" w:hAnsiTheme="majorBidi" w:cstheme="majorBidi"/>
          <w:sz w:val="24"/>
          <w:szCs w:val="24"/>
          <w:lang w:bidi="he-IL"/>
        </w:rPr>
        <w:t xml:space="preserve">. Despite this, </w:t>
      </w:r>
      <w:r w:rsidR="00826E31" w:rsidRPr="005716C7">
        <w:rPr>
          <w:rFonts w:asciiTheme="majorBidi" w:hAnsiTheme="majorBidi" w:cstheme="majorBidi"/>
          <w:sz w:val="24"/>
          <w:szCs w:val="24"/>
          <w:lang w:bidi="he-IL"/>
        </w:rPr>
        <w:t>only a very small fraction</w:t>
      </w:r>
      <w:r w:rsidR="00826E31">
        <w:rPr>
          <w:rFonts w:asciiTheme="majorBidi" w:hAnsiTheme="majorBidi" w:cstheme="majorBidi"/>
          <w:sz w:val="24"/>
          <w:szCs w:val="24"/>
          <w:lang w:bidi="he-IL"/>
        </w:rPr>
        <w:t xml:space="preserve"> </w:t>
      </w:r>
      <w:r w:rsidR="00826E31" w:rsidRPr="005716C7">
        <w:rPr>
          <w:rFonts w:asciiTheme="majorBidi" w:hAnsiTheme="majorBidi" w:cstheme="majorBidi"/>
          <w:sz w:val="24"/>
          <w:szCs w:val="24"/>
          <w:lang w:bidi="he-IL"/>
        </w:rPr>
        <w:t xml:space="preserve">of them have been </w:t>
      </w:r>
      <w:r>
        <w:rPr>
          <w:rFonts w:asciiTheme="majorBidi" w:hAnsiTheme="majorBidi" w:cstheme="majorBidi"/>
          <w:sz w:val="24"/>
          <w:szCs w:val="24"/>
          <w:lang w:bidi="he-IL"/>
        </w:rPr>
        <w:t>rigorously</w:t>
      </w:r>
      <w:r w:rsidR="00826E31" w:rsidRPr="005716C7">
        <w:rPr>
          <w:rFonts w:asciiTheme="majorBidi" w:hAnsiTheme="majorBidi" w:cstheme="majorBidi"/>
          <w:sz w:val="24"/>
          <w:szCs w:val="24"/>
          <w:lang w:bidi="he-IL"/>
        </w:rPr>
        <w:t xml:space="preserve"> evaluated, and these all relate to primary prevention strategies predominantly targeted at individuals with mild to moderate intellectual disability.</w:t>
      </w:r>
    </w:p>
    <w:p w14:paraId="00CA3D6D" w14:textId="77777777" w:rsidR="00826E31" w:rsidRPr="005716C7" w:rsidRDefault="00826E31" w:rsidP="00EE4EE2">
      <w:pPr>
        <w:spacing w:after="60" w:line="360" w:lineRule="auto"/>
        <w:rPr>
          <w:rFonts w:asciiTheme="majorBidi" w:hAnsiTheme="majorBidi" w:cstheme="majorBidi"/>
          <w:sz w:val="24"/>
          <w:szCs w:val="24"/>
          <w:lang w:bidi="he-IL"/>
        </w:rPr>
      </w:pPr>
      <w:r w:rsidRPr="005716C7">
        <w:rPr>
          <w:rFonts w:asciiTheme="majorBidi" w:hAnsiTheme="majorBidi" w:cstheme="majorBidi"/>
          <w:sz w:val="24"/>
          <w:szCs w:val="24"/>
          <w:lang w:bidi="he-IL"/>
        </w:rPr>
        <w:t>Given this paucity of evidence</w:t>
      </w:r>
      <w:r>
        <w:rPr>
          <w:rFonts w:asciiTheme="majorBidi" w:hAnsiTheme="majorBidi" w:cstheme="majorBidi"/>
          <w:sz w:val="24"/>
          <w:szCs w:val="24"/>
          <w:lang w:bidi="he-IL"/>
        </w:rPr>
        <w:t>,</w:t>
      </w:r>
      <w:r w:rsidRPr="005716C7">
        <w:rPr>
          <w:rFonts w:asciiTheme="majorBidi" w:hAnsiTheme="majorBidi" w:cstheme="majorBidi"/>
          <w:sz w:val="24"/>
          <w:szCs w:val="24"/>
          <w:lang w:bidi="he-IL"/>
        </w:rPr>
        <w:t xml:space="preserve"> </w:t>
      </w:r>
      <w:r>
        <w:rPr>
          <w:rFonts w:asciiTheme="majorBidi" w:hAnsiTheme="majorBidi" w:cstheme="majorBidi"/>
          <w:sz w:val="24"/>
          <w:szCs w:val="24"/>
          <w:lang w:bidi="he-IL"/>
        </w:rPr>
        <w:t>i</w:t>
      </w:r>
      <w:r w:rsidRPr="005716C7">
        <w:rPr>
          <w:rFonts w:asciiTheme="majorBidi" w:hAnsiTheme="majorBidi" w:cstheme="majorBidi"/>
          <w:sz w:val="24"/>
          <w:szCs w:val="24"/>
          <w:lang w:bidi="he-IL"/>
        </w:rPr>
        <w:t>t seems that in order to establish “evidence-based” effective prevention strategies and to reduce the prevalence of abuse and violence in the lives of people with intellectual disabilities, research and interventions need to evolve from the response-to-risk approach to a broader framework encompassing</w:t>
      </w:r>
      <w:r>
        <w:rPr>
          <w:rFonts w:asciiTheme="majorBidi" w:hAnsiTheme="majorBidi" w:cstheme="majorBidi"/>
          <w:sz w:val="24"/>
          <w:szCs w:val="24"/>
          <w:lang w:bidi="he-IL"/>
        </w:rPr>
        <w:t xml:space="preserve"> the</w:t>
      </w:r>
      <w:r w:rsidRPr="005716C7">
        <w:rPr>
          <w:rFonts w:asciiTheme="majorBidi" w:hAnsiTheme="majorBidi" w:cstheme="majorBidi"/>
          <w:sz w:val="24"/>
          <w:szCs w:val="24"/>
          <w:lang w:bidi="he-IL"/>
        </w:rPr>
        <w:t xml:space="preserve"> individual’s safety as part of their quality of life. Relying on the evidence-based indicators </w:t>
      </w:r>
      <w:r>
        <w:rPr>
          <w:rFonts w:asciiTheme="majorBidi" w:hAnsiTheme="majorBidi" w:cstheme="majorBidi"/>
          <w:sz w:val="24"/>
          <w:szCs w:val="24"/>
          <w:lang w:bidi="he-IL"/>
        </w:rPr>
        <w:t>of organis</w:t>
      </w:r>
      <w:r w:rsidRPr="005716C7">
        <w:rPr>
          <w:rFonts w:asciiTheme="majorBidi" w:hAnsiTheme="majorBidi" w:cstheme="majorBidi"/>
          <w:sz w:val="24"/>
          <w:szCs w:val="24"/>
          <w:lang w:bidi="he-IL"/>
        </w:rPr>
        <w:t>ational culture identified in the literature may prove fruitful in</w:t>
      </w:r>
      <w:r>
        <w:rPr>
          <w:rFonts w:asciiTheme="majorBidi" w:hAnsiTheme="majorBidi" w:cstheme="majorBidi"/>
          <w:sz w:val="24"/>
          <w:szCs w:val="24"/>
          <w:lang w:bidi="he-IL"/>
        </w:rPr>
        <w:t xml:space="preserve"> </w:t>
      </w:r>
      <w:r w:rsidRPr="005716C7">
        <w:rPr>
          <w:rFonts w:asciiTheme="majorBidi" w:hAnsiTheme="majorBidi" w:cstheme="majorBidi"/>
          <w:sz w:val="24"/>
          <w:szCs w:val="24"/>
          <w:lang w:bidi="he-IL"/>
        </w:rPr>
        <w:t xml:space="preserve">promoting good quality of care that </w:t>
      </w:r>
      <w:r>
        <w:rPr>
          <w:rFonts w:asciiTheme="majorBidi" w:hAnsiTheme="majorBidi" w:cstheme="majorBidi"/>
          <w:sz w:val="24"/>
          <w:szCs w:val="24"/>
          <w:lang w:bidi="he-IL"/>
        </w:rPr>
        <w:t>is</w:t>
      </w:r>
      <w:r w:rsidRPr="005716C7">
        <w:rPr>
          <w:rFonts w:asciiTheme="majorBidi" w:hAnsiTheme="majorBidi" w:cstheme="majorBidi"/>
          <w:sz w:val="24"/>
          <w:szCs w:val="24"/>
          <w:lang w:bidi="he-IL"/>
        </w:rPr>
        <w:t xml:space="preserve"> associated with better safety and quality of life outcome</w:t>
      </w:r>
      <w:r>
        <w:rPr>
          <w:rFonts w:asciiTheme="majorBidi" w:hAnsiTheme="majorBidi" w:cstheme="majorBidi"/>
          <w:sz w:val="24"/>
          <w:szCs w:val="24"/>
          <w:lang w:bidi="he-IL"/>
        </w:rPr>
        <w:t>s</w:t>
      </w:r>
      <w:r w:rsidRPr="005716C7">
        <w:rPr>
          <w:rFonts w:asciiTheme="majorBidi" w:hAnsiTheme="majorBidi" w:cstheme="majorBidi"/>
          <w:sz w:val="24"/>
          <w:szCs w:val="24"/>
          <w:lang w:bidi="he-IL"/>
        </w:rPr>
        <w:t xml:space="preserve"> for individuals with intellectual disabilities.</w:t>
      </w:r>
    </w:p>
    <w:p w14:paraId="6C1412B9" w14:textId="1B37EFED" w:rsidR="00826E31" w:rsidRPr="005716C7" w:rsidRDefault="00EE4EE2" w:rsidP="00EE4EE2">
      <w:pPr>
        <w:spacing w:after="200" w:line="276" w:lineRule="auto"/>
        <w:rPr>
          <w:rFonts w:asciiTheme="majorBidi" w:hAnsiTheme="majorBidi" w:cstheme="majorBidi"/>
          <w:sz w:val="24"/>
          <w:szCs w:val="24"/>
          <w:lang w:bidi="he-IL"/>
        </w:rPr>
      </w:pPr>
      <w:r>
        <w:rPr>
          <w:rFonts w:asciiTheme="majorBidi" w:hAnsiTheme="majorBidi" w:cstheme="majorBidi"/>
          <w:sz w:val="24"/>
          <w:szCs w:val="24"/>
          <w:lang w:bidi="he-IL"/>
        </w:rPr>
        <w:br w:type="page"/>
      </w:r>
    </w:p>
    <w:p w14:paraId="5EB6D59C" w14:textId="77777777" w:rsidR="00EE4EE2" w:rsidRPr="00EE4EE2" w:rsidRDefault="00EE4EE2" w:rsidP="00EE4EE2">
      <w:pPr>
        <w:spacing w:line="360" w:lineRule="auto"/>
        <w:jc w:val="center"/>
        <w:rPr>
          <w:b/>
          <w:sz w:val="24"/>
          <w:szCs w:val="24"/>
          <w:lang w:val="en-US"/>
        </w:rPr>
      </w:pPr>
      <w:r w:rsidRPr="00EE4EE2">
        <w:rPr>
          <w:b/>
          <w:sz w:val="24"/>
          <w:szCs w:val="24"/>
          <w:lang w:val="en-US"/>
        </w:rPr>
        <w:lastRenderedPageBreak/>
        <w:t>Literature Review of Best Practice Supports in Disability Services for the Prevention of Abuse of People with Disability</w:t>
      </w:r>
    </w:p>
    <w:p w14:paraId="2133E3CC" w14:textId="77777777" w:rsidR="00EE4EE2" w:rsidRDefault="00EE4EE2" w:rsidP="0019074D">
      <w:pPr>
        <w:spacing w:after="120" w:line="360" w:lineRule="auto"/>
        <w:outlineLvl w:val="0"/>
        <w:rPr>
          <w:b/>
          <w:sz w:val="24"/>
          <w:szCs w:val="24"/>
          <w:lang w:bidi="he-IL"/>
        </w:rPr>
      </w:pPr>
    </w:p>
    <w:p w14:paraId="1FF2CB01" w14:textId="77777777" w:rsidR="00AB6044" w:rsidRPr="00E51FA9" w:rsidRDefault="00AB6044" w:rsidP="0019074D">
      <w:pPr>
        <w:spacing w:after="120" w:line="360" w:lineRule="auto"/>
        <w:outlineLvl w:val="0"/>
        <w:rPr>
          <w:sz w:val="24"/>
          <w:szCs w:val="24"/>
          <w:u w:val="single"/>
          <w:rtl/>
          <w:lang w:bidi="he-IL"/>
        </w:rPr>
      </w:pPr>
      <w:r w:rsidRPr="00E51FA9">
        <w:rPr>
          <w:b/>
          <w:sz w:val="24"/>
          <w:szCs w:val="24"/>
          <w:lang w:bidi="he-IL"/>
        </w:rPr>
        <w:t xml:space="preserve">Introduction </w:t>
      </w:r>
    </w:p>
    <w:p w14:paraId="40629F5C" w14:textId="14712129" w:rsidR="00AB6044" w:rsidRPr="00E51FA9" w:rsidRDefault="00AB6044" w:rsidP="00AB6044">
      <w:pPr>
        <w:spacing w:after="120" w:line="360" w:lineRule="auto"/>
        <w:rPr>
          <w:sz w:val="24"/>
          <w:szCs w:val="24"/>
        </w:rPr>
      </w:pPr>
      <w:r w:rsidRPr="00E51FA9">
        <w:rPr>
          <w:sz w:val="24"/>
          <w:szCs w:val="24"/>
          <w:lang w:bidi="he-IL"/>
        </w:rPr>
        <w:t xml:space="preserve">Violence and abuse against individuals with disabilities is a serious public issue. The two groups of people with disabilities most at risk, are people with intellectual disability and those who </w:t>
      </w:r>
      <w:r w:rsidR="001531CC" w:rsidRPr="00E51FA9">
        <w:rPr>
          <w:sz w:val="24"/>
          <w:szCs w:val="24"/>
          <w:lang w:bidi="he-IL"/>
        </w:rPr>
        <w:t>live in</w:t>
      </w:r>
      <w:r w:rsidRPr="00E51FA9">
        <w:rPr>
          <w:sz w:val="24"/>
          <w:szCs w:val="24"/>
        </w:rPr>
        <w:t xml:space="preserve"> residential settings (</w:t>
      </w:r>
      <w:r w:rsidR="00B36FBE" w:rsidRPr="00E51FA9">
        <w:rPr>
          <w:rFonts w:asciiTheme="majorBidi" w:hAnsiTheme="majorBidi" w:cstheme="majorBidi"/>
          <w:sz w:val="24"/>
          <w:szCs w:val="24"/>
          <w:lang w:eastAsia="en-AU" w:bidi="he-IL"/>
        </w:rPr>
        <w:t>Didi</w:t>
      </w:r>
      <w:r w:rsidR="00B36FBE">
        <w:rPr>
          <w:rFonts w:asciiTheme="majorBidi" w:hAnsiTheme="majorBidi" w:cstheme="majorBidi"/>
          <w:sz w:val="24"/>
          <w:szCs w:val="24"/>
          <w:lang w:eastAsia="en-AU" w:bidi="he-IL"/>
        </w:rPr>
        <w:t xml:space="preserve"> et al.,</w:t>
      </w:r>
      <w:r w:rsidR="00B36FBE" w:rsidRPr="00E51FA9">
        <w:rPr>
          <w:rFonts w:asciiTheme="majorBidi" w:hAnsiTheme="majorBidi" w:cstheme="majorBidi"/>
          <w:sz w:val="24"/>
          <w:szCs w:val="24"/>
          <w:lang w:eastAsia="en-AU" w:bidi="he-IL"/>
        </w:rPr>
        <w:t xml:space="preserve"> 2016</w:t>
      </w:r>
      <w:r w:rsidR="00B36FBE">
        <w:rPr>
          <w:rFonts w:asciiTheme="majorBidi" w:hAnsiTheme="majorBidi" w:cstheme="majorBidi"/>
          <w:sz w:val="24"/>
          <w:szCs w:val="24"/>
          <w:lang w:eastAsia="en-AU" w:bidi="he-IL"/>
        </w:rPr>
        <w:t xml:space="preserve">; </w:t>
      </w:r>
      <w:r w:rsidR="00EA233B" w:rsidRPr="00E51FA9">
        <w:rPr>
          <w:sz w:val="24"/>
          <w:szCs w:val="24"/>
        </w:rPr>
        <w:t>Dowse et al., 2013; Lan-ping et al., 2009; Levy &amp; Packman, 2004</w:t>
      </w:r>
      <w:r w:rsidR="005341E1" w:rsidRPr="00E51FA9">
        <w:rPr>
          <w:sz w:val="24"/>
          <w:szCs w:val="24"/>
        </w:rPr>
        <w:t xml:space="preserve">; </w:t>
      </w:r>
      <w:r w:rsidR="00582DC2" w:rsidRPr="00E51FA9">
        <w:rPr>
          <w:rFonts w:asciiTheme="majorBidi" w:hAnsiTheme="majorBidi" w:cstheme="majorBidi"/>
          <w:sz w:val="24"/>
          <w:szCs w:val="24"/>
        </w:rPr>
        <w:t>Ortoleva &amp; Lewis,</w:t>
      </w:r>
      <w:r w:rsidR="00582DC2">
        <w:rPr>
          <w:rFonts w:asciiTheme="majorBidi" w:hAnsiTheme="majorBidi" w:cstheme="majorBidi"/>
          <w:sz w:val="24"/>
          <w:szCs w:val="24"/>
        </w:rPr>
        <w:t xml:space="preserve"> </w:t>
      </w:r>
      <w:r w:rsidR="00582DC2" w:rsidRPr="00E51FA9">
        <w:rPr>
          <w:rFonts w:asciiTheme="majorBidi" w:hAnsiTheme="majorBidi" w:cstheme="majorBidi"/>
          <w:sz w:val="24"/>
          <w:szCs w:val="24"/>
        </w:rPr>
        <w:t>2012</w:t>
      </w:r>
      <w:r w:rsidR="00582DC2">
        <w:rPr>
          <w:rFonts w:asciiTheme="majorBidi" w:hAnsiTheme="majorBidi" w:cstheme="majorBidi"/>
          <w:sz w:val="24"/>
          <w:szCs w:val="24"/>
        </w:rPr>
        <w:t xml:space="preserve">; </w:t>
      </w:r>
      <w:r w:rsidRPr="00E51FA9">
        <w:rPr>
          <w:sz w:val="24"/>
          <w:szCs w:val="24"/>
        </w:rPr>
        <w:t>Ottmann et al., 2016</w:t>
      </w:r>
      <w:r w:rsidR="00AE27C0" w:rsidRPr="00E51FA9">
        <w:rPr>
          <w:sz w:val="24"/>
          <w:szCs w:val="24"/>
        </w:rPr>
        <w:t xml:space="preserve">; </w:t>
      </w:r>
      <w:r w:rsidR="00AE27C0">
        <w:rPr>
          <w:sz w:val="24"/>
          <w:szCs w:val="24"/>
        </w:rPr>
        <w:t xml:space="preserve">Women </w:t>
      </w:r>
      <w:r w:rsidR="00861FCE">
        <w:rPr>
          <w:sz w:val="24"/>
          <w:szCs w:val="24"/>
        </w:rPr>
        <w:t>with</w:t>
      </w:r>
      <w:r w:rsidR="00AE27C0">
        <w:rPr>
          <w:sz w:val="24"/>
          <w:szCs w:val="24"/>
        </w:rPr>
        <w:t xml:space="preserve"> Disability Australia [</w:t>
      </w:r>
      <w:r w:rsidR="00AE27C0" w:rsidRPr="00E51FA9">
        <w:rPr>
          <w:sz w:val="24"/>
          <w:szCs w:val="24"/>
        </w:rPr>
        <w:t>WWDA</w:t>
      </w:r>
      <w:r w:rsidR="00AE27C0">
        <w:rPr>
          <w:sz w:val="24"/>
          <w:szCs w:val="24"/>
        </w:rPr>
        <w:t>]</w:t>
      </w:r>
      <w:r w:rsidR="00AE27C0" w:rsidRPr="00E51FA9">
        <w:rPr>
          <w:sz w:val="24"/>
          <w:szCs w:val="24"/>
        </w:rPr>
        <w:t>,</w:t>
      </w:r>
      <w:r w:rsidR="00582DC2">
        <w:rPr>
          <w:sz w:val="24"/>
          <w:szCs w:val="24"/>
        </w:rPr>
        <w:t xml:space="preserve"> </w:t>
      </w:r>
      <w:r w:rsidR="00AE27C0" w:rsidRPr="00E51FA9">
        <w:rPr>
          <w:sz w:val="24"/>
          <w:szCs w:val="24"/>
        </w:rPr>
        <w:t>2012; 2011</w:t>
      </w:r>
      <w:r w:rsidRPr="00E51FA9">
        <w:rPr>
          <w:sz w:val="24"/>
          <w:szCs w:val="24"/>
        </w:rPr>
        <w:t>). Abuse is a complex phenomenon that can only be understood as an interactive process between individual characteristics and sociocultural context</w:t>
      </w:r>
      <w:r w:rsidR="00573ADD" w:rsidRPr="00E51FA9">
        <w:rPr>
          <w:sz w:val="24"/>
          <w:szCs w:val="24"/>
        </w:rPr>
        <w:t>s</w:t>
      </w:r>
      <w:r w:rsidR="00EA233B" w:rsidRPr="00E51FA9">
        <w:rPr>
          <w:sz w:val="24"/>
          <w:szCs w:val="24"/>
        </w:rPr>
        <w:t xml:space="preserve"> </w:t>
      </w:r>
      <w:r w:rsidR="00573ADD" w:rsidRPr="00E51FA9">
        <w:rPr>
          <w:sz w:val="24"/>
          <w:szCs w:val="24"/>
        </w:rPr>
        <w:t>(</w:t>
      </w:r>
      <w:r w:rsidR="00EA233B" w:rsidRPr="00E51FA9">
        <w:rPr>
          <w:sz w:val="24"/>
          <w:szCs w:val="24"/>
        </w:rPr>
        <w:t>Fisher et al., 2016; White et al., 2003</w:t>
      </w:r>
      <w:r w:rsidR="00573ADD" w:rsidRPr="00E51FA9">
        <w:rPr>
          <w:sz w:val="24"/>
          <w:szCs w:val="24"/>
        </w:rPr>
        <w:t>)</w:t>
      </w:r>
      <w:r w:rsidRPr="00E51FA9">
        <w:rPr>
          <w:sz w:val="24"/>
          <w:szCs w:val="24"/>
        </w:rPr>
        <w:t xml:space="preserve"> </w:t>
      </w:r>
    </w:p>
    <w:p w14:paraId="22885687" w14:textId="5E423E91" w:rsidR="00AB6044" w:rsidRPr="00E51FA9" w:rsidRDefault="00AB6044" w:rsidP="00AB6044">
      <w:pPr>
        <w:spacing w:after="120" w:line="360" w:lineRule="auto"/>
        <w:rPr>
          <w:sz w:val="24"/>
          <w:szCs w:val="24"/>
        </w:rPr>
      </w:pPr>
      <w:r w:rsidRPr="00E51FA9">
        <w:rPr>
          <w:sz w:val="24"/>
          <w:szCs w:val="24"/>
        </w:rPr>
        <w:t>By ratifying the United Nations Convention on the Rights of Persons w</w:t>
      </w:r>
      <w:r w:rsidR="00241613" w:rsidRPr="00E51FA9">
        <w:rPr>
          <w:sz w:val="24"/>
          <w:szCs w:val="24"/>
        </w:rPr>
        <w:t>ith Disabilities (200</w:t>
      </w:r>
      <w:r w:rsidR="0039445C">
        <w:rPr>
          <w:sz w:val="24"/>
          <w:szCs w:val="24"/>
        </w:rPr>
        <w:t>6</w:t>
      </w:r>
      <w:r w:rsidRPr="00E51FA9">
        <w:rPr>
          <w:sz w:val="24"/>
          <w:szCs w:val="24"/>
        </w:rPr>
        <w:t xml:space="preserve">), the Australian government declared its obligation to ensure the human rights of people with disabilities and to combat abuse. The Convention mandates state parties to “take all appropriate legislative, administrative, social, educational and other measures to protect persons with disabilities, both within and outside the home, from all forms of exploitation, violence and abuse, including their gender-based aspects”. Similarly, at the State government level, the Victorian Disability Act 2006 sets out the rights of people with disabilities to respect and dignity, recognising their human rights to </w:t>
      </w:r>
      <w:r w:rsidRPr="00C64B1F">
        <w:rPr>
          <w:sz w:val="24"/>
          <w:szCs w:val="24"/>
        </w:rPr>
        <w:t xml:space="preserve">“live free </w:t>
      </w:r>
      <w:r w:rsidR="003E75F1" w:rsidRPr="00C64B1F">
        <w:rPr>
          <w:sz w:val="24"/>
          <w:szCs w:val="24"/>
        </w:rPr>
        <w:t>from</w:t>
      </w:r>
      <w:r w:rsidR="00A27D0F">
        <w:rPr>
          <w:sz w:val="24"/>
          <w:szCs w:val="24"/>
        </w:rPr>
        <w:t xml:space="preserve"> abuse,</w:t>
      </w:r>
      <w:r w:rsidRPr="00C64B1F">
        <w:rPr>
          <w:sz w:val="24"/>
          <w:szCs w:val="24"/>
        </w:rPr>
        <w:t xml:space="preserve"> neglect and ex</w:t>
      </w:r>
      <w:r w:rsidR="00573ADD" w:rsidRPr="00C64B1F">
        <w:rPr>
          <w:sz w:val="24"/>
          <w:szCs w:val="24"/>
        </w:rPr>
        <w:t>pl</w:t>
      </w:r>
      <w:r w:rsidR="00165C6F" w:rsidRPr="00C64B1F">
        <w:rPr>
          <w:sz w:val="24"/>
          <w:szCs w:val="24"/>
        </w:rPr>
        <w:t>oitation</w:t>
      </w:r>
      <w:r w:rsidRPr="00BA1D38">
        <w:rPr>
          <w:sz w:val="24"/>
          <w:szCs w:val="24"/>
        </w:rPr>
        <w:t>”.</w:t>
      </w:r>
      <w:r w:rsidRPr="00E51FA9">
        <w:rPr>
          <w:sz w:val="24"/>
          <w:szCs w:val="24"/>
        </w:rPr>
        <w:t xml:space="preserve"> Such rights are also reflected in the Victorian Charter of Human Rights and Responsibilities Act 2006</w:t>
      </w:r>
      <w:r w:rsidR="004650CD">
        <w:rPr>
          <w:sz w:val="24"/>
          <w:szCs w:val="24"/>
        </w:rPr>
        <w:t xml:space="preserve"> (Vic)</w:t>
      </w:r>
      <w:r w:rsidRPr="00E51FA9">
        <w:rPr>
          <w:sz w:val="24"/>
          <w:szCs w:val="24"/>
        </w:rPr>
        <w:t xml:space="preserve">. These pieces of legislation require governments to take appropriate measures to "prevent all forms of exploitation, violence and abuse" and ensure "assistance and support for persons with disabilities and their families and caregivers, including through the provision of information and education on how to avoid, recognise and report instances of exploitation, violence and abuse”. In a sector wide partnership National Disability Services developed the </w:t>
      </w:r>
      <w:r w:rsidR="00165C6F">
        <w:rPr>
          <w:sz w:val="24"/>
          <w:szCs w:val="24"/>
        </w:rPr>
        <w:t>Zero T</w:t>
      </w:r>
      <w:r w:rsidRPr="00E51FA9">
        <w:rPr>
          <w:sz w:val="24"/>
          <w:szCs w:val="24"/>
        </w:rPr>
        <w:t xml:space="preserve">olerance </w:t>
      </w:r>
      <w:r w:rsidR="00F54A3F" w:rsidRPr="00E51FA9">
        <w:rPr>
          <w:sz w:val="24"/>
          <w:szCs w:val="24"/>
        </w:rPr>
        <w:t>initiative which</w:t>
      </w:r>
      <w:r w:rsidRPr="00E51FA9">
        <w:rPr>
          <w:sz w:val="24"/>
          <w:szCs w:val="24"/>
        </w:rPr>
        <w:t xml:space="preserve"> took a holistic approach to abuse prevention (</w:t>
      </w:r>
      <w:r w:rsidR="00F54A3F" w:rsidRPr="00E51FA9">
        <w:rPr>
          <w:sz w:val="24"/>
          <w:szCs w:val="24"/>
        </w:rPr>
        <w:t>Robinson, 2015</w:t>
      </w:r>
      <w:r w:rsidRPr="00E51FA9">
        <w:rPr>
          <w:sz w:val="24"/>
          <w:szCs w:val="24"/>
        </w:rPr>
        <w:t>). This initiative offers disability services an overarching framework for understanding the causes of violence and abuse that informs interventions to improve practice aimed at safeguarding the ri</w:t>
      </w:r>
      <w:r w:rsidR="00937EBD">
        <w:rPr>
          <w:sz w:val="24"/>
          <w:szCs w:val="24"/>
        </w:rPr>
        <w:t>ghts of the people they support (</w:t>
      </w:r>
      <w:r w:rsidR="00E12235">
        <w:rPr>
          <w:sz w:val="24"/>
          <w:szCs w:val="24"/>
        </w:rPr>
        <w:t>National Disability Services [</w:t>
      </w:r>
      <w:r w:rsidR="001531CC">
        <w:rPr>
          <w:sz w:val="24"/>
          <w:szCs w:val="24"/>
        </w:rPr>
        <w:t>ND</w:t>
      </w:r>
      <w:r w:rsidR="001531CC" w:rsidRPr="00E51FA9">
        <w:rPr>
          <w:sz w:val="24"/>
          <w:szCs w:val="24"/>
        </w:rPr>
        <w:t>S</w:t>
      </w:r>
      <w:r w:rsidR="00E12235">
        <w:rPr>
          <w:sz w:val="24"/>
          <w:szCs w:val="24"/>
        </w:rPr>
        <w:t>]</w:t>
      </w:r>
      <w:r w:rsidR="001531CC" w:rsidRPr="00E51FA9">
        <w:rPr>
          <w:sz w:val="24"/>
          <w:szCs w:val="24"/>
        </w:rPr>
        <w:t>, 2016</w:t>
      </w:r>
      <w:r w:rsidR="00573ADD" w:rsidRPr="00E51FA9">
        <w:rPr>
          <w:sz w:val="24"/>
          <w:szCs w:val="24"/>
        </w:rPr>
        <w:t>)</w:t>
      </w:r>
      <w:r w:rsidRPr="00E51FA9">
        <w:rPr>
          <w:sz w:val="24"/>
          <w:szCs w:val="24"/>
        </w:rPr>
        <w:t xml:space="preserve"> </w:t>
      </w:r>
    </w:p>
    <w:p w14:paraId="636C452B" w14:textId="0C0D0B2C" w:rsidR="00AB6044" w:rsidRPr="00E51FA9" w:rsidRDefault="00AB6044" w:rsidP="00AB6044">
      <w:pPr>
        <w:spacing w:after="120" w:line="360" w:lineRule="auto"/>
        <w:rPr>
          <w:sz w:val="24"/>
          <w:szCs w:val="24"/>
        </w:rPr>
      </w:pPr>
      <w:r w:rsidRPr="00E51FA9">
        <w:rPr>
          <w:sz w:val="24"/>
          <w:szCs w:val="24"/>
        </w:rPr>
        <w:t>Increasingly, over the last decade, policy instruments and research acknowledge the extent of violence against people with disabilities, and a wide array of prevention strategies are described in the scholarly and grey literature. Despite, growing attention to this issue, there</w:t>
      </w:r>
      <w:r w:rsidR="00E324A3" w:rsidRPr="00E51FA9">
        <w:rPr>
          <w:sz w:val="24"/>
          <w:szCs w:val="24"/>
        </w:rPr>
        <w:t xml:space="preserve"> is however, </w:t>
      </w:r>
      <w:r w:rsidRPr="00E51FA9">
        <w:rPr>
          <w:sz w:val="24"/>
          <w:szCs w:val="24"/>
        </w:rPr>
        <w:t xml:space="preserve">little evidence about effectiveness of interventions to inform the prioritisation of effort, and frameworks are largely conceptual rather than evidence based. </w:t>
      </w:r>
      <w:bookmarkStart w:id="3" w:name="_Hlk493674643"/>
      <w:r w:rsidRPr="00E51FA9">
        <w:rPr>
          <w:sz w:val="24"/>
          <w:szCs w:val="24"/>
        </w:rPr>
        <w:t xml:space="preserve">More rigorous evaluation is required to establish </w:t>
      </w:r>
      <w:r w:rsidRPr="00E51FA9">
        <w:rPr>
          <w:sz w:val="24"/>
          <w:szCs w:val="24"/>
        </w:rPr>
        <w:lastRenderedPageBreak/>
        <w:t>the effectiveness</w:t>
      </w:r>
      <w:r w:rsidR="00573ADD" w:rsidRPr="00E51FA9">
        <w:rPr>
          <w:sz w:val="24"/>
          <w:szCs w:val="24"/>
        </w:rPr>
        <w:t xml:space="preserve"> </w:t>
      </w:r>
      <w:r w:rsidR="001531CC" w:rsidRPr="00E51FA9">
        <w:rPr>
          <w:sz w:val="24"/>
          <w:szCs w:val="24"/>
        </w:rPr>
        <w:t>of abuse</w:t>
      </w:r>
      <w:r w:rsidRPr="00E51FA9">
        <w:rPr>
          <w:sz w:val="24"/>
          <w:szCs w:val="24"/>
        </w:rPr>
        <w:t xml:space="preserve"> prevention strategies to advance evidence-based practice in this field (Northway et al., 2007; Perry, 2004; Quarmby, 2011; Robinson &amp; Chenoweth, 2011</w:t>
      </w:r>
      <w:r w:rsidR="00004D91">
        <w:rPr>
          <w:sz w:val="24"/>
          <w:szCs w:val="24"/>
        </w:rPr>
        <w:t>; 2012</w:t>
      </w:r>
      <w:r w:rsidRPr="00E51FA9">
        <w:rPr>
          <w:sz w:val="24"/>
          <w:szCs w:val="24"/>
        </w:rPr>
        <w:t xml:space="preserve">). </w:t>
      </w:r>
    </w:p>
    <w:bookmarkEnd w:id="3"/>
    <w:p w14:paraId="4BA67171" w14:textId="0087DBDC" w:rsidR="00AB6044" w:rsidRPr="00E51FA9" w:rsidRDefault="00AB6044" w:rsidP="00AB6044">
      <w:pPr>
        <w:spacing w:after="120" w:line="360" w:lineRule="auto"/>
        <w:rPr>
          <w:sz w:val="24"/>
          <w:szCs w:val="24"/>
        </w:rPr>
      </w:pPr>
      <w:r w:rsidRPr="00E51FA9">
        <w:rPr>
          <w:sz w:val="24"/>
          <w:szCs w:val="24"/>
        </w:rPr>
        <w:t xml:space="preserve">In this report, commissioned by the Disability Services Commissioner, we provide a brief review of the broader literature on abuse of people with intellectual disabilities, and analyse the scholarly research literature on the effectiveness of abuse prevention strategies. Our focus is particularly on those in receipt of disability services who are also often those with higher support needs and more severe levels of intellectual disability. </w:t>
      </w:r>
    </w:p>
    <w:p w14:paraId="4B5AC854" w14:textId="5A9D0E61" w:rsidR="00AB6044" w:rsidRPr="00E51FA9" w:rsidRDefault="00AB6044" w:rsidP="00AB6044">
      <w:pPr>
        <w:spacing w:after="120" w:line="360" w:lineRule="auto"/>
        <w:rPr>
          <w:sz w:val="24"/>
          <w:szCs w:val="24"/>
        </w:rPr>
      </w:pPr>
      <w:r w:rsidRPr="00E51FA9">
        <w:rPr>
          <w:sz w:val="24"/>
          <w:szCs w:val="24"/>
        </w:rPr>
        <w:t>We note that much of the literature does not differentiate between people with disabilities in general and people with intellectual disability, and refers to violence and abuse. We use the term abuse through</w:t>
      </w:r>
      <w:r w:rsidR="00001583">
        <w:rPr>
          <w:sz w:val="24"/>
          <w:szCs w:val="24"/>
        </w:rPr>
        <w:t>out</w:t>
      </w:r>
      <w:r w:rsidRPr="00E51FA9">
        <w:rPr>
          <w:sz w:val="24"/>
          <w:szCs w:val="24"/>
        </w:rPr>
        <w:t xml:space="preserve"> this report to refer to both violence and abuse unless a source ha</w:t>
      </w:r>
      <w:r w:rsidR="00573ADD" w:rsidRPr="00E51FA9">
        <w:rPr>
          <w:sz w:val="24"/>
          <w:szCs w:val="24"/>
        </w:rPr>
        <w:t xml:space="preserve">s differentiated between these terms.  </w:t>
      </w:r>
    </w:p>
    <w:p w14:paraId="6C04D45A" w14:textId="0552C6F0" w:rsidR="00AB6044" w:rsidRPr="00E51FA9" w:rsidRDefault="00AB6044" w:rsidP="00AB6044">
      <w:pPr>
        <w:spacing w:after="120" w:line="360" w:lineRule="auto"/>
        <w:rPr>
          <w:sz w:val="24"/>
          <w:szCs w:val="24"/>
        </w:rPr>
      </w:pPr>
      <w:r w:rsidRPr="00E51FA9">
        <w:rPr>
          <w:sz w:val="24"/>
          <w:szCs w:val="24"/>
        </w:rPr>
        <w:t xml:space="preserve">Using a socio-ecological model of abuse as the conceptual framework we seek to identify: 1). Personal, environmental and relational aspects as well as factors in service environments and organisational cultures associated with the vulnerability of </w:t>
      </w:r>
      <w:r w:rsidR="00573ADD" w:rsidRPr="00E51FA9">
        <w:rPr>
          <w:sz w:val="24"/>
          <w:szCs w:val="24"/>
        </w:rPr>
        <w:t xml:space="preserve">people </w:t>
      </w:r>
      <w:r w:rsidRPr="00E51FA9">
        <w:rPr>
          <w:sz w:val="24"/>
          <w:szCs w:val="24"/>
        </w:rPr>
        <w:t>with intellectual disabilities to abuse, and; 2</w:t>
      </w:r>
      <w:r w:rsidR="00937EBD">
        <w:rPr>
          <w:sz w:val="24"/>
          <w:szCs w:val="24"/>
        </w:rPr>
        <w:t>)</w:t>
      </w:r>
      <w:r w:rsidRPr="00E51FA9">
        <w:rPr>
          <w:sz w:val="24"/>
          <w:szCs w:val="24"/>
        </w:rPr>
        <w:t>. Preventative abuse strategies for people with intellectual disabilities, and evidence about the quality and effectiveness of these strategies.</w:t>
      </w:r>
      <w:r w:rsidR="00937EBD">
        <w:rPr>
          <w:sz w:val="24"/>
          <w:szCs w:val="24"/>
        </w:rPr>
        <w:t xml:space="preserve"> </w:t>
      </w:r>
      <w:r w:rsidRPr="00E51FA9">
        <w:rPr>
          <w:sz w:val="24"/>
          <w:szCs w:val="24"/>
        </w:rPr>
        <w:t>This critical analysis of the literature identifies core elements and strategies used in prevention of abuse of people with intellectual disabilities</w:t>
      </w:r>
      <w:r w:rsidR="00573ADD" w:rsidRPr="00E51FA9">
        <w:rPr>
          <w:sz w:val="24"/>
          <w:szCs w:val="24"/>
        </w:rPr>
        <w:t>,</w:t>
      </w:r>
      <w:r w:rsidRPr="00E51FA9">
        <w:rPr>
          <w:sz w:val="24"/>
          <w:szCs w:val="24"/>
        </w:rPr>
        <w:t xml:space="preserve"> </w:t>
      </w:r>
      <w:r w:rsidR="00573ADD" w:rsidRPr="00E51FA9">
        <w:rPr>
          <w:sz w:val="24"/>
          <w:szCs w:val="24"/>
        </w:rPr>
        <w:t>highlighting</w:t>
      </w:r>
      <w:r w:rsidRPr="00E51FA9">
        <w:rPr>
          <w:sz w:val="24"/>
          <w:szCs w:val="24"/>
        </w:rPr>
        <w:t xml:space="preserve"> the strengths and gaps in these </w:t>
      </w:r>
      <w:r w:rsidR="001531CC" w:rsidRPr="00E51FA9">
        <w:rPr>
          <w:sz w:val="24"/>
          <w:szCs w:val="24"/>
        </w:rPr>
        <w:t>strategies.</w:t>
      </w:r>
      <w:r w:rsidRPr="00E51FA9">
        <w:rPr>
          <w:sz w:val="24"/>
          <w:szCs w:val="24"/>
        </w:rPr>
        <w:t xml:space="preserve"> </w:t>
      </w:r>
    </w:p>
    <w:p w14:paraId="1053640E" w14:textId="77777777" w:rsidR="00AB6044" w:rsidRPr="00F1368D" w:rsidRDefault="00AB6044" w:rsidP="0019074D">
      <w:pPr>
        <w:spacing w:after="120" w:line="360" w:lineRule="auto"/>
        <w:outlineLvl w:val="0"/>
        <w:rPr>
          <w:b/>
          <w:i/>
          <w:sz w:val="24"/>
          <w:szCs w:val="24"/>
        </w:rPr>
      </w:pPr>
      <w:r w:rsidRPr="00F1368D">
        <w:rPr>
          <w:b/>
          <w:i/>
          <w:sz w:val="24"/>
          <w:szCs w:val="24"/>
        </w:rPr>
        <w:t>Definitions of abuse</w:t>
      </w:r>
    </w:p>
    <w:p w14:paraId="6A321B2A" w14:textId="68EB9F90" w:rsidR="00AB6044" w:rsidRPr="00E51FA9" w:rsidRDefault="00AB6044" w:rsidP="00AB6044">
      <w:pPr>
        <w:spacing w:after="120" w:line="360" w:lineRule="auto"/>
        <w:rPr>
          <w:sz w:val="24"/>
          <w:szCs w:val="24"/>
        </w:rPr>
      </w:pPr>
      <w:r w:rsidRPr="00E51FA9">
        <w:rPr>
          <w:sz w:val="24"/>
          <w:szCs w:val="24"/>
        </w:rPr>
        <w:t>Abuse is broadly defined as a violation of an individual's human or civil rights, through the non-accidental act or actions of another person or persons (</w:t>
      </w:r>
      <w:r w:rsidRPr="00E51FA9">
        <w:rPr>
          <w:rFonts w:asciiTheme="majorBidi" w:hAnsiTheme="majorBidi" w:cstheme="majorBidi"/>
          <w:sz w:val="24"/>
          <w:szCs w:val="24"/>
          <w:lang w:eastAsia="en-AU" w:bidi="he-IL"/>
        </w:rPr>
        <w:t>C</w:t>
      </w:r>
      <w:r w:rsidR="00B07424" w:rsidRPr="00E51FA9">
        <w:rPr>
          <w:rFonts w:asciiTheme="majorBidi" w:hAnsiTheme="majorBidi" w:cstheme="majorBidi"/>
          <w:sz w:val="24"/>
          <w:szCs w:val="24"/>
          <w:lang w:eastAsia="en-AU" w:bidi="he-IL"/>
        </w:rPr>
        <w:t>ooper et al.</w:t>
      </w:r>
      <w:r w:rsidRPr="00E51FA9">
        <w:rPr>
          <w:rFonts w:asciiTheme="majorBidi" w:hAnsiTheme="majorBidi" w:cstheme="majorBidi"/>
          <w:sz w:val="24"/>
          <w:szCs w:val="24"/>
          <w:lang w:eastAsia="en-AU" w:bidi="he-IL"/>
        </w:rPr>
        <w:t>, 2008)</w:t>
      </w:r>
      <w:r w:rsidR="00AE27C0">
        <w:rPr>
          <w:rFonts w:asciiTheme="majorBidi" w:hAnsiTheme="majorBidi" w:cstheme="majorBidi"/>
          <w:sz w:val="24"/>
          <w:szCs w:val="24"/>
          <w:lang w:eastAsia="en-AU" w:bidi="he-IL"/>
        </w:rPr>
        <w:t>.</w:t>
      </w:r>
      <w:r w:rsidRPr="00E51FA9">
        <w:rPr>
          <w:sz w:val="24"/>
          <w:szCs w:val="24"/>
        </w:rPr>
        <w:t xml:space="preserve"> This definition includes physical, sexual, verbal, psychological or emotional abuse, constraints and restrictive practices, financial, legal, civil and systemic abuse, and may consist of a single act or repeated acts. The scope of this review includes sexual, physical and emotional abuse defined by the National Disability Abuse &amp; Neglect Hotline as</w:t>
      </w:r>
      <w:r w:rsidR="00E12523">
        <w:rPr>
          <w:sz w:val="24"/>
          <w:szCs w:val="24"/>
        </w:rPr>
        <w:t xml:space="preserve"> (Department of Social Services, 2016)</w:t>
      </w:r>
      <w:r w:rsidRPr="00E51FA9">
        <w:rPr>
          <w:sz w:val="24"/>
          <w:szCs w:val="24"/>
        </w:rPr>
        <w:t xml:space="preserve">: </w:t>
      </w:r>
    </w:p>
    <w:p w14:paraId="1F490F4C" w14:textId="77777777" w:rsidR="00AB6044" w:rsidRPr="00E51FA9" w:rsidRDefault="00AB6044" w:rsidP="00AB6044">
      <w:pPr>
        <w:pStyle w:val="ListParagraph"/>
        <w:numPr>
          <w:ilvl w:val="0"/>
          <w:numId w:val="31"/>
        </w:numPr>
        <w:spacing w:after="120" w:line="360" w:lineRule="auto"/>
        <w:rPr>
          <w:rFonts w:ascii="Times New Roman" w:hAnsi="Times New Roman"/>
          <w:sz w:val="24"/>
          <w:szCs w:val="24"/>
        </w:rPr>
      </w:pPr>
      <w:r w:rsidRPr="00E51FA9">
        <w:rPr>
          <w:rFonts w:ascii="Times New Roman" w:hAnsi="Times New Roman"/>
          <w:sz w:val="24"/>
          <w:szCs w:val="24"/>
        </w:rPr>
        <w:t xml:space="preserve">Physical abuse - inflicting physical injury, pain or any unpleasant sensation. </w:t>
      </w:r>
    </w:p>
    <w:p w14:paraId="50DCA5CF" w14:textId="77777777" w:rsidR="00AB6044" w:rsidRPr="00E51FA9" w:rsidRDefault="00AB6044" w:rsidP="00AB6044">
      <w:pPr>
        <w:pStyle w:val="ListParagraph"/>
        <w:numPr>
          <w:ilvl w:val="0"/>
          <w:numId w:val="31"/>
        </w:numPr>
        <w:spacing w:after="120" w:line="360" w:lineRule="auto"/>
        <w:rPr>
          <w:rFonts w:ascii="Times New Roman" w:hAnsi="Times New Roman"/>
          <w:sz w:val="24"/>
          <w:szCs w:val="24"/>
        </w:rPr>
      </w:pPr>
      <w:r w:rsidRPr="00E51FA9">
        <w:rPr>
          <w:rFonts w:ascii="Times New Roman" w:hAnsi="Times New Roman"/>
          <w:sz w:val="24"/>
          <w:szCs w:val="24"/>
        </w:rPr>
        <w:t xml:space="preserve">Sexual abuse - sexual contact with a child aged 16 or under. Sexual activity with an adult who is unable to understand or who has been threatened, coerced or forced. </w:t>
      </w:r>
    </w:p>
    <w:p w14:paraId="3BD1CFD0" w14:textId="463D3777" w:rsidR="00AB6044" w:rsidRPr="00E51FA9" w:rsidRDefault="00AB6044" w:rsidP="00AB6044">
      <w:pPr>
        <w:pStyle w:val="ListParagraph"/>
        <w:numPr>
          <w:ilvl w:val="0"/>
          <w:numId w:val="31"/>
        </w:numPr>
        <w:spacing w:after="120" w:line="360" w:lineRule="auto"/>
      </w:pPr>
      <w:r w:rsidRPr="00E51FA9">
        <w:rPr>
          <w:rFonts w:ascii="Times New Roman" w:hAnsi="Times New Roman"/>
          <w:sz w:val="24"/>
          <w:szCs w:val="24"/>
        </w:rPr>
        <w:t xml:space="preserve">Psychological or emotional abuse - verbal assaults, threats, harassment, humiliation or intimidation. Failure to interact or acknowledge a person’s </w:t>
      </w:r>
      <w:r w:rsidR="00861FCE" w:rsidRPr="00E51FA9">
        <w:rPr>
          <w:rFonts w:ascii="Times New Roman" w:hAnsi="Times New Roman"/>
          <w:sz w:val="24"/>
          <w:szCs w:val="24"/>
        </w:rPr>
        <w:t>presence</w:t>
      </w:r>
      <w:r w:rsidR="00861FCE">
        <w:rPr>
          <w:rFonts w:ascii="Times New Roman" w:hAnsi="Times New Roman"/>
          <w:sz w:val="24"/>
          <w:szCs w:val="24"/>
        </w:rPr>
        <w:t>.</w:t>
      </w:r>
    </w:p>
    <w:p w14:paraId="52CB090D" w14:textId="498455EA" w:rsidR="00AB6044" w:rsidRPr="00E51FA9" w:rsidRDefault="00AB6044" w:rsidP="00AB6044">
      <w:pPr>
        <w:spacing w:after="120" w:line="360" w:lineRule="auto"/>
        <w:rPr>
          <w:sz w:val="24"/>
          <w:szCs w:val="24"/>
        </w:rPr>
      </w:pPr>
      <w:r w:rsidRPr="00E51FA9">
        <w:rPr>
          <w:sz w:val="24"/>
          <w:szCs w:val="24"/>
        </w:rPr>
        <w:lastRenderedPageBreak/>
        <w:t>In the context of abuse in community care environments it is important to note that abuse may be a continuum of circumstances and its definition determined by the impact on the client. In disability services, difficulties in establishing “exactly where to draw the line of inappropriate/non-optimal and the unacceptable” (Cashmore et al</w:t>
      </w:r>
      <w:r w:rsidR="00937EBD">
        <w:rPr>
          <w:sz w:val="24"/>
          <w:szCs w:val="24"/>
        </w:rPr>
        <w:t>.</w:t>
      </w:r>
      <w:r w:rsidRPr="00E51FA9">
        <w:rPr>
          <w:sz w:val="24"/>
          <w:szCs w:val="24"/>
        </w:rPr>
        <w:t xml:space="preserve">, 1994) are compounded by </w:t>
      </w:r>
      <w:r w:rsidR="00EA233B" w:rsidRPr="00E51FA9">
        <w:rPr>
          <w:sz w:val="24"/>
          <w:szCs w:val="24"/>
        </w:rPr>
        <w:t xml:space="preserve">the fact that </w:t>
      </w:r>
      <w:r w:rsidRPr="00E51FA9">
        <w:rPr>
          <w:sz w:val="24"/>
          <w:szCs w:val="24"/>
        </w:rPr>
        <w:t xml:space="preserve">many </w:t>
      </w:r>
      <w:r w:rsidR="00EA233B" w:rsidRPr="00E51FA9">
        <w:rPr>
          <w:sz w:val="24"/>
          <w:szCs w:val="24"/>
        </w:rPr>
        <w:t>people</w:t>
      </w:r>
      <w:r w:rsidRPr="00E51FA9">
        <w:rPr>
          <w:sz w:val="24"/>
          <w:szCs w:val="24"/>
        </w:rPr>
        <w:t xml:space="preserve"> with intellectual disabilities </w:t>
      </w:r>
      <w:r w:rsidR="00937EBD">
        <w:rPr>
          <w:sz w:val="24"/>
          <w:szCs w:val="24"/>
        </w:rPr>
        <w:t>are</w:t>
      </w:r>
      <w:r w:rsidRPr="00E51FA9">
        <w:rPr>
          <w:sz w:val="24"/>
          <w:szCs w:val="24"/>
        </w:rPr>
        <w:t xml:space="preserve"> unable to recognise and report abuse. Therefore, defining whether abuse has occurred must take into account, not only the nature or intent of the alleged perpetrator's actions (and whether these reach a criminal threshold), but also the experience of the individual with the disability and the impact on their physical and psychological well-being</w:t>
      </w:r>
      <w:r w:rsidR="00937EBD">
        <w:rPr>
          <w:sz w:val="24"/>
          <w:szCs w:val="24"/>
        </w:rPr>
        <w:t xml:space="preserve"> </w:t>
      </w:r>
      <w:r w:rsidR="00EA233B" w:rsidRPr="00E51FA9">
        <w:rPr>
          <w:sz w:val="24"/>
          <w:szCs w:val="24"/>
        </w:rPr>
        <w:t xml:space="preserve">(Cashmore </w:t>
      </w:r>
      <w:r w:rsidR="001531CC" w:rsidRPr="00E51FA9">
        <w:rPr>
          <w:sz w:val="24"/>
          <w:szCs w:val="24"/>
        </w:rPr>
        <w:t>et al</w:t>
      </w:r>
      <w:r w:rsidR="001531CC">
        <w:rPr>
          <w:sz w:val="24"/>
          <w:szCs w:val="24"/>
        </w:rPr>
        <w:t>.,</w:t>
      </w:r>
      <w:r w:rsidR="00EA233B" w:rsidRPr="00E51FA9">
        <w:rPr>
          <w:sz w:val="24"/>
          <w:szCs w:val="24"/>
        </w:rPr>
        <w:t xml:space="preserve"> 1994; </w:t>
      </w:r>
      <w:r w:rsidR="003703AF">
        <w:rPr>
          <w:sz w:val="24"/>
          <w:szCs w:val="24"/>
        </w:rPr>
        <w:t>So</w:t>
      </w:r>
      <w:r w:rsidR="001531CC" w:rsidRPr="00E51FA9">
        <w:rPr>
          <w:sz w:val="24"/>
          <w:szCs w:val="24"/>
        </w:rPr>
        <w:t>b</w:t>
      </w:r>
      <w:r w:rsidR="003703AF">
        <w:rPr>
          <w:sz w:val="24"/>
          <w:szCs w:val="24"/>
        </w:rPr>
        <w:t>se</w:t>
      </w:r>
      <w:r w:rsidR="001531CC" w:rsidRPr="00E51FA9">
        <w:rPr>
          <w:sz w:val="24"/>
          <w:szCs w:val="24"/>
        </w:rPr>
        <w:t>y, 199</w:t>
      </w:r>
      <w:r w:rsidR="004252AE">
        <w:rPr>
          <w:sz w:val="24"/>
          <w:szCs w:val="24"/>
        </w:rPr>
        <w:t>4</w:t>
      </w:r>
      <w:r w:rsidR="00EA233B" w:rsidRPr="00E51FA9">
        <w:rPr>
          <w:sz w:val="24"/>
          <w:szCs w:val="24"/>
        </w:rPr>
        <w:t>)</w:t>
      </w:r>
      <w:r w:rsidRPr="00E51FA9">
        <w:rPr>
          <w:sz w:val="24"/>
          <w:szCs w:val="24"/>
        </w:rPr>
        <w:t>. The Victorian Law Reform Commission's recommendation that abuse of people with impaired decision making should be regarded as a new "public wrong" supports this view, suggesting civil penalties and noting that whilst abusive behaviour may constitute a criminal offence of assault, “It is important, however, that abuse of vulnerable people be characterised as a public wrong in some circumstances, even when criminal proceedings are unavailable or unlikely to succeed”</w:t>
      </w:r>
      <w:r w:rsidR="00044D25">
        <w:rPr>
          <w:sz w:val="24"/>
          <w:szCs w:val="24"/>
        </w:rPr>
        <w:t xml:space="preserve"> (Parliament of Victoria, 2015)</w:t>
      </w:r>
      <w:r w:rsidRPr="00E51FA9">
        <w:rPr>
          <w:sz w:val="24"/>
          <w:szCs w:val="24"/>
        </w:rPr>
        <w:t>.</w:t>
      </w:r>
    </w:p>
    <w:p w14:paraId="52272B56" w14:textId="77777777" w:rsidR="00AB6044" w:rsidRPr="00F1368D" w:rsidRDefault="00AB6044" w:rsidP="0019074D">
      <w:pPr>
        <w:spacing w:after="120" w:line="360" w:lineRule="auto"/>
        <w:outlineLvl w:val="0"/>
        <w:rPr>
          <w:b/>
          <w:i/>
          <w:sz w:val="24"/>
          <w:szCs w:val="24"/>
        </w:rPr>
      </w:pPr>
      <w:r w:rsidRPr="00F1368D">
        <w:rPr>
          <w:b/>
          <w:i/>
          <w:sz w:val="24"/>
          <w:szCs w:val="24"/>
        </w:rPr>
        <w:t>A conceptual model of understanding abuse</w:t>
      </w:r>
    </w:p>
    <w:p w14:paraId="43B6667F" w14:textId="2E2CA625" w:rsidR="00AB6044" w:rsidRDefault="00AB6044" w:rsidP="00AB6044">
      <w:pPr>
        <w:spacing w:after="120" w:line="360" w:lineRule="auto"/>
        <w:rPr>
          <w:sz w:val="24"/>
          <w:szCs w:val="24"/>
        </w:rPr>
      </w:pPr>
      <w:r w:rsidRPr="00E51FA9">
        <w:rPr>
          <w:sz w:val="24"/>
          <w:szCs w:val="24"/>
        </w:rPr>
        <w:t>No single factor can explain why abuse of people with intellectual disability occurs and persists. Its causes are commonly conceptualised as the complex interrelationship between individual characteristics, their social and physical environment and the cultural context (</w:t>
      </w:r>
      <w:bookmarkStart w:id="4" w:name="_Hlk494255627"/>
      <w:r w:rsidRPr="00E51FA9">
        <w:rPr>
          <w:sz w:val="24"/>
          <w:szCs w:val="24"/>
        </w:rPr>
        <w:t xml:space="preserve">Fisher et al., 2016; </w:t>
      </w:r>
      <w:r w:rsidR="00E12680" w:rsidRPr="00E51FA9">
        <w:rPr>
          <w:rFonts w:asciiTheme="majorBidi" w:hAnsiTheme="majorBidi" w:cstheme="majorBidi"/>
          <w:sz w:val="24"/>
          <w:szCs w:val="24"/>
          <w:lang w:eastAsia="en-AU" w:bidi="he-IL"/>
        </w:rPr>
        <w:t>Terry</w:t>
      </w:r>
      <w:r w:rsidR="00E12680" w:rsidRPr="00E51FA9">
        <w:rPr>
          <w:sz w:val="24"/>
          <w:szCs w:val="24"/>
        </w:rPr>
        <w:t xml:space="preserve"> </w:t>
      </w:r>
      <w:r w:rsidR="00E12680">
        <w:rPr>
          <w:sz w:val="24"/>
          <w:szCs w:val="24"/>
        </w:rPr>
        <w:t xml:space="preserve">et al., 2014; </w:t>
      </w:r>
      <w:r w:rsidRPr="00E51FA9">
        <w:rPr>
          <w:sz w:val="24"/>
          <w:szCs w:val="24"/>
        </w:rPr>
        <w:t>White et al., 2003)</w:t>
      </w:r>
      <w:bookmarkEnd w:id="4"/>
      <w:r w:rsidRPr="00E51FA9">
        <w:rPr>
          <w:sz w:val="24"/>
          <w:szCs w:val="24"/>
        </w:rPr>
        <w:t xml:space="preserve">. The socio-ecological framework is the conceptual model proposed by the World Health Organisation for exploring abuse in the lives of vulnerable populations, and the model most frequently used in the literature (Fitzsimons, 2017). </w:t>
      </w:r>
      <w:r w:rsidR="00937EBD">
        <w:rPr>
          <w:sz w:val="24"/>
          <w:szCs w:val="24"/>
        </w:rPr>
        <w:t>As Figure 1 illustrates, i</w:t>
      </w:r>
      <w:r w:rsidRPr="00E51FA9">
        <w:rPr>
          <w:sz w:val="24"/>
          <w:szCs w:val="24"/>
        </w:rPr>
        <w:t>n this model, abuse is conceptualised as a</w:t>
      </w:r>
      <w:r w:rsidR="00EA233B" w:rsidRPr="00E51FA9">
        <w:rPr>
          <w:sz w:val="24"/>
          <w:szCs w:val="24"/>
        </w:rPr>
        <w:t>n outcome of</w:t>
      </w:r>
      <w:r w:rsidRPr="00E51FA9">
        <w:rPr>
          <w:sz w:val="24"/>
          <w:szCs w:val="24"/>
        </w:rPr>
        <w:t xml:space="preserve"> </w:t>
      </w:r>
      <w:r w:rsidR="00937EBD">
        <w:rPr>
          <w:sz w:val="24"/>
          <w:szCs w:val="24"/>
        </w:rPr>
        <w:t xml:space="preserve">the </w:t>
      </w:r>
      <w:r w:rsidRPr="00E51FA9">
        <w:rPr>
          <w:sz w:val="24"/>
          <w:szCs w:val="24"/>
        </w:rPr>
        <w:t xml:space="preserve">complex interaction of factors at four levels of analysis: individual, relational, community and broader societal context. </w:t>
      </w:r>
    </w:p>
    <w:p w14:paraId="1BEEFDC6" w14:textId="4FB52C24" w:rsidR="00937EBD" w:rsidRDefault="00937EBD" w:rsidP="00AB6044">
      <w:pPr>
        <w:spacing w:after="120" w:line="360" w:lineRule="auto"/>
        <w:rPr>
          <w:sz w:val="24"/>
          <w:szCs w:val="24"/>
        </w:rPr>
      </w:pPr>
      <w:r w:rsidRPr="00E51FA9">
        <w:rPr>
          <w:noProof/>
          <w:lang w:eastAsia="en-AU"/>
        </w:rPr>
        <w:drawing>
          <wp:inline distT="0" distB="0" distL="0" distR="0" wp14:anchorId="746B3093" wp14:editId="4F336CE4">
            <wp:extent cx="393382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3825" cy="1162050"/>
                    </a:xfrm>
                    <a:prstGeom prst="rect">
                      <a:avLst/>
                    </a:prstGeom>
                  </pic:spPr>
                </pic:pic>
              </a:graphicData>
            </a:graphic>
          </wp:inline>
        </w:drawing>
      </w:r>
    </w:p>
    <w:p w14:paraId="3A8A4A0E" w14:textId="77777777" w:rsidR="00937EBD" w:rsidRDefault="00937EBD" w:rsidP="00AB6044">
      <w:pPr>
        <w:spacing w:after="120" w:line="360" w:lineRule="auto"/>
        <w:rPr>
          <w:sz w:val="24"/>
          <w:szCs w:val="24"/>
        </w:rPr>
      </w:pPr>
    </w:p>
    <w:p w14:paraId="13801A7B" w14:textId="6254685D" w:rsidR="00937EBD" w:rsidRPr="00E51FA9" w:rsidRDefault="00937EBD" w:rsidP="00937EBD">
      <w:pPr>
        <w:spacing w:after="120" w:line="360" w:lineRule="auto"/>
        <w:rPr>
          <w:sz w:val="24"/>
          <w:szCs w:val="24"/>
        </w:rPr>
      </w:pPr>
      <w:r w:rsidRPr="00E51FA9">
        <w:rPr>
          <w:sz w:val="24"/>
          <w:szCs w:val="24"/>
        </w:rPr>
        <w:t xml:space="preserve">Figure 1: </w:t>
      </w:r>
      <w:r>
        <w:rPr>
          <w:sz w:val="24"/>
          <w:szCs w:val="24"/>
        </w:rPr>
        <w:t>Socio-e</w:t>
      </w:r>
      <w:r w:rsidRPr="00E51FA9">
        <w:rPr>
          <w:sz w:val="24"/>
          <w:szCs w:val="24"/>
        </w:rPr>
        <w:t>cological model for understanding abuse, violence, risk and protective factors</w:t>
      </w:r>
    </w:p>
    <w:p w14:paraId="740CDCF7" w14:textId="5B34AE18" w:rsidR="00937EBD" w:rsidRPr="00937EBD" w:rsidRDefault="00937EBD" w:rsidP="00AB6044">
      <w:pPr>
        <w:spacing w:after="120" w:line="360" w:lineRule="auto"/>
        <w:rPr>
          <w:rFonts w:asciiTheme="majorBidi" w:hAnsiTheme="majorBidi" w:cstheme="majorBidi"/>
          <w:sz w:val="24"/>
          <w:szCs w:val="24"/>
          <w:u w:val="single"/>
        </w:rPr>
      </w:pPr>
      <w:r w:rsidRPr="00E51FA9">
        <w:rPr>
          <w:rFonts w:asciiTheme="majorBidi" w:hAnsiTheme="majorBidi" w:cstheme="majorBidi"/>
          <w:iCs/>
          <w:sz w:val="18"/>
          <w:szCs w:val="18"/>
        </w:rPr>
        <w:t xml:space="preserve">Source: Krug, et al., 2015. </w:t>
      </w:r>
    </w:p>
    <w:p w14:paraId="4786F153" w14:textId="5F0B7B05" w:rsidR="00AB6044" w:rsidRPr="00E51FA9" w:rsidRDefault="00AB6044" w:rsidP="00AB6044">
      <w:pPr>
        <w:spacing w:after="120" w:line="360" w:lineRule="auto"/>
        <w:rPr>
          <w:sz w:val="24"/>
          <w:szCs w:val="24"/>
        </w:rPr>
      </w:pPr>
      <w:r w:rsidRPr="00E51FA9">
        <w:rPr>
          <w:sz w:val="24"/>
          <w:szCs w:val="24"/>
        </w:rPr>
        <w:lastRenderedPageBreak/>
        <w:t xml:space="preserve">The </w:t>
      </w:r>
      <w:r w:rsidRPr="00E51FA9">
        <w:rPr>
          <w:i/>
          <w:sz w:val="24"/>
          <w:szCs w:val="24"/>
        </w:rPr>
        <w:t>individual level</w:t>
      </w:r>
      <w:r w:rsidRPr="00E51FA9">
        <w:rPr>
          <w:sz w:val="24"/>
          <w:szCs w:val="24"/>
        </w:rPr>
        <w:t xml:space="preserve"> includes personal health and socio-demographic characteristics of the victim and perpetrator, </w:t>
      </w:r>
      <w:r w:rsidR="00AE27C0">
        <w:rPr>
          <w:sz w:val="24"/>
          <w:szCs w:val="24"/>
        </w:rPr>
        <w:t xml:space="preserve">and is </w:t>
      </w:r>
      <w:r w:rsidRPr="00E51FA9">
        <w:rPr>
          <w:sz w:val="24"/>
          <w:szCs w:val="24"/>
        </w:rPr>
        <w:t xml:space="preserve">associated with higher risk of exposure to </w:t>
      </w:r>
      <w:r w:rsidR="00067E5B" w:rsidRPr="00E51FA9">
        <w:rPr>
          <w:sz w:val="24"/>
          <w:szCs w:val="24"/>
        </w:rPr>
        <w:t>abuse</w:t>
      </w:r>
      <w:r w:rsidRPr="00E51FA9">
        <w:rPr>
          <w:sz w:val="24"/>
          <w:szCs w:val="24"/>
        </w:rPr>
        <w:t>.</w:t>
      </w:r>
    </w:p>
    <w:p w14:paraId="1EE4D92B" w14:textId="388331F4" w:rsidR="00AB6044" w:rsidRPr="00E51FA9" w:rsidRDefault="00AB6044" w:rsidP="00AB6044">
      <w:pPr>
        <w:spacing w:after="120" w:line="360" w:lineRule="auto"/>
        <w:rPr>
          <w:sz w:val="24"/>
          <w:szCs w:val="24"/>
        </w:rPr>
      </w:pPr>
      <w:r w:rsidRPr="00E51FA9">
        <w:rPr>
          <w:sz w:val="24"/>
          <w:szCs w:val="24"/>
        </w:rPr>
        <w:t xml:space="preserve">The </w:t>
      </w:r>
      <w:r w:rsidRPr="00E51FA9">
        <w:rPr>
          <w:i/>
          <w:sz w:val="24"/>
          <w:szCs w:val="24"/>
        </w:rPr>
        <w:t>relational level</w:t>
      </w:r>
      <w:r w:rsidRPr="00E51FA9">
        <w:rPr>
          <w:sz w:val="24"/>
          <w:szCs w:val="24"/>
        </w:rPr>
        <w:t xml:space="preserve"> includes characteristics and types of interaction between the </w:t>
      </w:r>
      <w:r w:rsidRPr="00E51FA9">
        <w:rPr>
          <w:sz w:val="24"/>
          <w:szCs w:val="24"/>
          <w:lang w:bidi="he-IL"/>
        </w:rPr>
        <w:t xml:space="preserve">individual </w:t>
      </w:r>
      <w:r w:rsidRPr="00E51FA9">
        <w:rPr>
          <w:sz w:val="24"/>
          <w:szCs w:val="24"/>
        </w:rPr>
        <w:t>and</w:t>
      </w:r>
      <w:r w:rsidR="00937EBD">
        <w:rPr>
          <w:sz w:val="24"/>
          <w:szCs w:val="24"/>
        </w:rPr>
        <w:t xml:space="preserve"> their immediate social network</w:t>
      </w:r>
      <w:r w:rsidRPr="00E51FA9">
        <w:rPr>
          <w:sz w:val="24"/>
          <w:szCs w:val="24"/>
        </w:rPr>
        <w:t xml:space="preserve"> in personal and professional settings.</w:t>
      </w:r>
    </w:p>
    <w:p w14:paraId="4C6BFC32" w14:textId="77777777" w:rsidR="00AB6044" w:rsidRPr="00E51FA9" w:rsidRDefault="00AB6044" w:rsidP="00AB6044">
      <w:pPr>
        <w:spacing w:after="120" w:line="360" w:lineRule="auto"/>
        <w:rPr>
          <w:sz w:val="24"/>
          <w:szCs w:val="24"/>
        </w:rPr>
      </w:pPr>
      <w:r w:rsidRPr="00E51FA9">
        <w:rPr>
          <w:sz w:val="24"/>
          <w:szCs w:val="24"/>
        </w:rPr>
        <w:t xml:space="preserve">The </w:t>
      </w:r>
      <w:r w:rsidRPr="00E51FA9">
        <w:rPr>
          <w:i/>
          <w:sz w:val="24"/>
          <w:szCs w:val="24"/>
        </w:rPr>
        <w:t>community level</w:t>
      </w:r>
      <w:r w:rsidRPr="00E51FA9">
        <w:rPr>
          <w:sz w:val="24"/>
          <w:szCs w:val="24"/>
        </w:rPr>
        <w:t xml:space="preserve"> is the social context in which social relationships occur, such as disability services, neighbourhoods and workplaces. </w:t>
      </w:r>
    </w:p>
    <w:p w14:paraId="65B6DF21" w14:textId="77777777" w:rsidR="00AB6044" w:rsidRPr="00E51FA9" w:rsidRDefault="00AB6044" w:rsidP="00AB6044">
      <w:pPr>
        <w:spacing w:after="120" w:line="360" w:lineRule="auto"/>
        <w:rPr>
          <w:sz w:val="24"/>
          <w:szCs w:val="24"/>
        </w:rPr>
      </w:pPr>
      <w:r w:rsidRPr="00E51FA9">
        <w:rPr>
          <w:sz w:val="24"/>
          <w:szCs w:val="24"/>
        </w:rPr>
        <w:t xml:space="preserve">The </w:t>
      </w:r>
      <w:r w:rsidRPr="00E51FA9">
        <w:rPr>
          <w:i/>
          <w:sz w:val="24"/>
          <w:szCs w:val="24"/>
        </w:rPr>
        <w:t>broader societal context</w:t>
      </w:r>
      <w:r w:rsidRPr="00E51FA9">
        <w:rPr>
          <w:sz w:val="24"/>
          <w:szCs w:val="24"/>
        </w:rPr>
        <w:t xml:space="preserve"> comprises the factors that influence whether violence is encouraged or inhibited in the society more widely, and the economic and social policies that maintain inequalities between people, and social and cultural norms such as those around disability.</w:t>
      </w:r>
    </w:p>
    <w:p w14:paraId="339AF471" w14:textId="1A2C29EC" w:rsidR="00AB6044" w:rsidRPr="00E51FA9" w:rsidRDefault="00AB6044" w:rsidP="00AB6044">
      <w:pPr>
        <w:spacing w:after="120" w:line="360" w:lineRule="auto"/>
        <w:rPr>
          <w:sz w:val="24"/>
          <w:szCs w:val="24"/>
        </w:rPr>
      </w:pPr>
      <w:r w:rsidRPr="00E51FA9">
        <w:rPr>
          <w:sz w:val="24"/>
          <w:szCs w:val="24"/>
        </w:rPr>
        <w:t>The socio-ecological framework regards the interaction between factors at different levels with equal importance to the influence of factors within a single level</w:t>
      </w:r>
      <w:r w:rsidR="00EA233B" w:rsidRPr="00E51FA9">
        <w:t xml:space="preserve"> (</w:t>
      </w:r>
      <w:r w:rsidR="00EA233B" w:rsidRPr="00E51FA9">
        <w:rPr>
          <w:sz w:val="24"/>
          <w:szCs w:val="24"/>
        </w:rPr>
        <w:t>Fisher et al., 2016; White et al., 2003)</w:t>
      </w:r>
      <w:r w:rsidRPr="00E51FA9">
        <w:rPr>
          <w:sz w:val="24"/>
          <w:szCs w:val="24"/>
        </w:rPr>
        <w:t xml:space="preserve">. For example, </w:t>
      </w:r>
      <w:proofErr w:type="spellStart"/>
      <w:r w:rsidRPr="00E51FA9">
        <w:rPr>
          <w:sz w:val="24"/>
          <w:szCs w:val="24"/>
        </w:rPr>
        <w:t>Sobsey’s</w:t>
      </w:r>
      <w:proofErr w:type="spellEnd"/>
      <w:r w:rsidRPr="00E51FA9">
        <w:rPr>
          <w:sz w:val="24"/>
          <w:szCs w:val="24"/>
        </w:rPr>
        <w:t xml:space="preserve"> (1994) socio-ecological theory of abuse of people with disability focussed on interpersonal relationships between carers and people being supported in the context of power differences. He demonstrates how, in this context, reinforcements such as social isolation and dehumanisation of individuals with intellectual disability exist in the community and societal levels that allow</w:t>
      </w:r>
      <w:r w:rsidR="006D2038" w:rsidRPr="00E51FA9">
        <w:rPr>
          <w:sz w:val="24"/>
          <w:szCs w:val="24"/>
        </w:rPr>
        <w:t xml:space="preserve"> </w:t>
      </w:r>
      <w:r w:rsidRPr="00E51FA9">
        <w:rPr>
          <w:sz w:val="24"/>
          <w:szCs w:val="24"/>
        </w:rPr>
        <w:t xml:space="preserve">abusive relationships to continue.  </w:t>
      </w:r>
    </w:p>
    <w:p w14:paraId="2ED4C903" w14:textId="671FF6EB" w:rsidR="00AB6044" w:rsidRPr="00937EBD" w:rsidRDefault="00AB6044" w:rsidP="00AB6044">
      <w:pPr>
        <w:spacing w:after="120" w:line="360" w:lineRule="auto"/>
        <w:rPr>
          <w:sz w:val="24"/>
          <w:szCs w:val="24"/>
        </w:rPr>
      </w:pPr>
      <w:r w:rsidRPr="00E51FA9">
        <w:rPr>
          <w:sz w:val="24"/>
          <w:szCs w:val="24"/>
        </w:rPr>
        <w:t xml:space="preserve">The socio-ecological framework is also useful for identifying and clustering intervention strategies according to the level in which they act. For example, psycho-educational and skill development interventions act at the individual level to strengthen the person’s ability to recognise abusive situations and react in a manner which may reduce the abuse. Strategies targeting the community level entail interventions aimed on monitoring and developing a “protective organisational culture” in disability services. </w:t>
      </w:r>
    </w:p>
    <w:p w14:paraId="6A33A831" w14:textId="6E0D601B"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The scholarly literature suggests that compared to the general population </w:t>
      </w:r>
      <w:r w:rsidR="00EA233B" w:rsidRPr="00E51FA9">
        <w:rPr>
          <w:rFonts w:asciiTheme="majorBidi" w:hAnsiTheme="majorBidi" w:cstheme="majorBidi"/>
          <w:sz w:val="24"/>
          <w:szCs w:val="24"/>
        </w:rPr>
        <w:t>people</w:t>
      </w:r>
      <w:r w:rsidRPr="00E51FA9">
        <w:rPr>
          <w:rFonts w:asciiTheme="majorBidi" w:hAnsiTheme="majorBidi" w:cstheme="majorBidi"/>
          <w:sz w:val="24"/>
          <w:szCs w:val="24"/>
        </w:rPr>
        <w:t xml:space="preserve"> with disability experience significantly higher rates of abuse and it is asserted that </w:t>
      </w:r>
      <w:r w:rsidR="00EA233B" w:rsidRPr="00E51FA9">
        <w:rPr>
          <w:rFonts w:asciiTheme="majorBidi" w:hAnsiTheme="majorBidi" w:cstheme="majorBidi"/>
          <w:sz w:val="24"/>
          <w:szCs w:val="24"/>
        </w:rPr>
        <w:t xml:space="preserve">people </w:t>
      </w:r>
      <w:r w:rsidRPr="00E51FA9">
        <w:rPr>
          <w:rFonts w:asciiTheme="majorBidi" w:hAnsiTheme="majorBidi" w:cstheme="majorBidi"/>
          <w:sz w:val="24"/>
          <w:szCs w:val="24"/>
        </w:rPr>
        <w:t>with intellectual disabilities are at particularly high risk (</w:t>
      </w:r>
      <w:r w:rsidR="00B36FBE" w:rsidRPr="00E51FA9">
        <w:rPr>
          <w:rFonts w:asciiTheme="majorBidi" w:hAnsiTheme="majorBidi" w:cstheme="majorBidi"/>
          <w:sz w:val="24"/>
          <w:szCs w:val="24"/>
          <w:lang w:eastAsia="en-AU" w:bidi="he-IL"/>
        </w:rPr>
        <w:t>Didi</w:t>
      </w:r>
      <w:r w:rsidR="00B36FBE">
        <w:rPr>
          <w:rFonts w:asciiTheme="majorBidi" w:hAnsiTheme="majorBidi" w:cstheme="majorBidi"/>
          <w:sz w:val="24"/>
          <w:szCs w:val="24"/>
          <w:lang w:eastAsia="en-AU" w:bidi="he-IL"/>
        </w:rPr>
        <w:t xml:space="preserve"> et al.,</w:t>
      </w:r>
      <w:r w:rsidR="00B36FBE" w:rsidRPr="00E51FA9">
        <w:rPr>
          <w:rFonts w:asciiTheme="majorBidi" w:hAnsiTheme="majorBidi" w:cstheme="majorBidi"/>
          <w:sz w:val="24"/>
          <w:szCs w:val="24"/>
          <w:lang w:eastAsia="en-AU" w:bidi="he-IL"/>
        </w:rPr>
        <w:t xml:space="preserve"> 2016</w:t>
      </w:r>
      <w:r w:rsidR="00B36FBE">
        <w:rPr>
          <w:rFonts w:asciiTheme="majorBidi" w:hAnsiTheme="majorBidi" w:cstheme="majorBidi"/>
          <w:sz w:val="24"/>
          <w:szCs w:val="24"/>
          <w:lang w:eastAsia="en-AU" w:bidi="he-IL"/>
        </w:rPr>
        <w:t xml:space="preserve">; </w:t>
      </w:r>
      <w:r w:rsidRPr="00E51FA9">
        <w:rPr>
          <w:rFonts w:asciiTheme="majorBidi" w:hAnsiTheme="majorBidi" w:cstheme="majorBidi"/>
          <w:sz w:val="24"/>
          <w:szCs w:val="24"/>
        </w:rPr>
        <w:t>Dowse et al</w:t>
      </w:r>
      <w:r w:rsidR="00FB4E55" w:rsidRPr="00E51FA9">
        <w:rPr>
          <w:rFonts w:asciiTheme="majorBidi" w:hAnsiTheme="majorBidi" w:cstheme="majorBidi"/>
          <w:sz w:val="24"/>
          <w:szCs w:val="24"/>
        </w:rPr>
        <w:t>.</w:t>
      </w:r>
      <w:r w:rsidR="00340CE8" w:rsidRPr="00E51FA9">
        <w:rPr>
          <w:rFonts w:asciiTheme="majorBidi" w:hAnsiTheme="majorBidi" w:cstheme="majorBidi"/>
          <w:sz w:val="24"/>
          <w:szCs w:val="24"/>
        </w:rPr>
        <w:t>, 2013</w:t>
      </w:r>
      <w:r w:rsidRPr="00E51FA9">
        <w:rPr>
          <w:rFonts w:asciiTheme="majorBidi" w:hAnsiTheme="majorBidi" w:cstheme="majorBidi"/>
          <w:sz w:val="24"/>
          <w:szCs w:val="24"/>
        </w:rPr>
        <w:t>; Lan-ping et al., 2009</w:t>
      </w:r>
      <w:r w:rsidR="00AE27C0" w:rsidRPr="00E51FA9">
        <w:rPr>
          <w:rFonts w:asciiTheme="majorBidi" w:hAnsiTheme="majorBidi" w:cstheme="majorBidi"/>
          <w:sz w:val="24"/>
          <w:szCs w:val="24"/>
        </w:rPr>
        <w:t>; Levy &amp; Packman, 2004</w:t>
      </w:r>
      <w:r w:rsidRPr="00E51FA9">
        <w:rPr>
          <w:rFonts w:asciiTheme="majorBidi" w:hAnsiTheme="majorBidi" w:cstheme="majorBidi"/>
          <w:sz w:val="24"/>
          <w:szCs w:val="24"/>
        </w:rPr>
        <w:t xml:space="preserve">; Victorian </w:t>
      </w:r>
      <w:r w:rsidR="00963FFE">
        <w:rPr>
          <w:rFonts w:asciiTheme="majorBidi" w:hAnsiTheme="majorBidi" w:cstheme="majorBidi"/>
          <w:sz w:val="24"/>
          <w:szCs w:val="24"/>
        </w:rPr>
        <w:t>Ombudsman</w:t>
      </w:r>
      <w:r w:rsidRPr="00E51FA9">
        <w:rPr>
          <w:rFonts w:asciiTheme="majorBidi" w:hAnsiTheme="majorBidi" w:cstheme="majorBidi"/>
          <w:sz w:val="24"/>
          <w:szCs w:val="24"/>
        </w:rPr>
        <w:t>, 201</w:t>
      </w:r>
      <w:r w:rsidR="00B87E88">
        <w:rPr>
          <w:rFonts w:asciiTheme="majorBidi" w:hAnsiTheme="majorBidi" w:cstheme="majorBidi"/>
          <w:sz w:val="24"/>
          <w:szCs w:val="24"/>
        </w:rPr>
        <w:t>5</w:t>
      </w:r>
      <w:r w:rsidR="00AE27C0" w:rsidRPr="00E51FA9">
        <w:rPr>
          <w:rFonts w:asciiTheme="majorBidi" w:hAnsiTheme="majorBidi" w:cstheme="majorBidi"/>
          <w:sz w:val="24"/>
          <w:szCs w:val="24"/>
        </w:rPr>
        <w:t>; WWDA, 2012; 2011</w:t>
      </w:r>
      <w:r w:rsidRPr="00E51FA9">
        <w:rPr>
          <w:rFonts w:asciiTheme="majorBidi" w:hAnsiTheme="majorBidi" w:cstheme="majorBidi"/>
          <w:sz w:val="24"/>
          <w:szCs w:val="24"/>
        </w:rPr>
        <w:t xml:space="preserve">). However, there is no strong </w:t>
      </w:r>
      <w:r w:rsidR="00F54A3F" w:rsidRPr="00E51FA9">
        <w:rPr>
          <w:rFonts w:asciiTheme="majorBidi" w:hAnsiTheme="majorBidi" w:cstheme="majorBidi"/>
          <w:sz w:val="24"/>
          <w:szCs w:val="24"/>
        </w:rPr>
        <w:t>statistical evidence</w:t>
      </w:r>
      <w:r w:rsidRPr="00E51FA9">
        <w:rPr>
          <w:rFonts w:asciiTheme="majorBidi" w:hAnsiTheme="majorBidi" w:cstheme="majorBidi"/>
          <w:sz w:val="24"/>
          <w:szCs w:val="24"/>
        </w:rPr>
        <w:t xml:space="preserve"> of these claims. The omission of people with disabilities from national data collection strategies means there is no reliable national data on the prevalence, extent, nature, and impact of abuse against individuals with intellectual disabilities in the range of settings in which they receive support</w:t>
      </w:r>
      <w:r w:rsidR="00155DA6" w:rsidRPr="00E51FA9">
        <w:rPr>
          <w:rFonts w:asciiTheme="majorBidi" w:hAnsiTheme="majorBidi" w:cstheme="majorBidi"/>
          <w:sz w:val="24"/>
          <w:szCs w:val="24"/>
        </w:rPr>
        <w:t xml:space="preserve"> (WWDA, 2012</w:t>
      </w:r>
      <w:r w:rsidRPr="00E51FA9">
        <w:rPr>
          <w:rFonts w:asciiTheme="majorBidi" w:hAnsiTheme="majorBidi" w:cstheme="majorBidi"/>
          <w:sz w:val="24"/>
          <w:szCs w:val="24"/>
        </w:rPr>
        <w:t xml:space="preserve">). For example, the Australian Personal Safety Survey, the core database that captures prevalence and type of violence at a population level, excludes individuals with disabilities with communication difficulties and those who reside in settings other than private </w:t>
      </w:r>
      <w:r w:rsidRPr="00E51FA9">
        <w:rPr>
          <w:rFonts w:asciiTheme="majorBidi" w:hAnsiTheme="majorBidi" w:cstheme="majorBidi"/>
          <w:sz w:val="24"/>
          <w:szCs w:val="24"/>
        </w:rPr>
        <w:lastRenderedPageBreak/>
        <w:t>dwellings</w:t>
      </w:r>
      <w:r w:rsidR="00CC6BF5" w:rsidRPr="00E51FA9">
        <w:rPr>
          <w:rFonts w:asciiTheme="majorBidi" w:hAnsiTheme="majorBidi" w:cstheme="majorBidi"/>
          <w:sz w:val="24"/>
          <w:szCs w:val="24"/>
        </w:rPr>
        <w:t xml:space="preserve"> (WWDA, 2012; 2011</w:t>
      </w:r>
      <w:r w:rsidRPr="00E51FA9">
        <w:rPr>
          <w:rFonts w:asciiTheme="majorBidi" w:hAnsiTheme="majorBidi" w:cstheme="majorBidi"/>
          <w:sz w:val="24"/>
          <w:szCs w:val="24"/>
        </w:rPr>
        <w:t xml:space="preserve">). A search of the international literature reveals similar knowledge and methodological gaps in other Western countries. </w:t>
      </w:r>
    </w:p>
    <w:p w14:paraId="5AC85643" w14:textId="3A092DCE"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Epidemiological research has found wide variation in reported incidence of abuse, often accounted for by the absence of consistent definitions of both abuse and disability. For example, one review of the prevalence of abuse of people with disabilities, found rates ranging from 26% to 90% over the lifetime of women with disabilities and 28.7% to 86.7% for men (Hughes et al., 2012). A different approach to exploring the incidence of abuse among individuals with intellectual disability was taken by Beadle-Brown et al., (2010) who analysed UK adult protection cases, which include a broad range of vulnerable groups. Their analysis of cases between 1998-2005 found that 32% of the reported abuse cases involved individuals with intellectual disability. </w:t>
      </w:r>
    </w:p>
    <w:p w14:paraId="52A228D9" w14:textId="2398D2A6"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The most common types of abuse reported in the Beadle-Brown et al</w:t>
      </w:r>
      <w:r w:rsidR="00370B5C" w:rsidRPr="00E51FA9">
        <w:rPr>
          <w:rFonts w:asciiTheme="majorBidi" w:hAnsiTheme="majorBidi" w:cstheme="majorBidi"/>
          <w:sz w:val="24"/>
          <w:szCs w:val="24"/>
        </w:rPr>
        <w:t>. (</w:t>
      </w:r>
      <w:r w:rsidRPr="00E51FA9">
        <w:rPr>
          <w:rFonts w:asciiTheme="majorBidi" w:hAnsiTheme="majorBidi" w:cstheme="majorBidi"/>
          <w:sz w:val="24"/>
          <w:szCs w:val="24"/>
        </w:rPr>
        <w:t>2010) study were physical (29%) and sexual (17%). Furthermore, 33% of the reported cases identified multiple types of abuse, mostly physical combined with psychological abuse, and 13% of the cases involved multiple perpetrators. Similarly, an analysis of 494 confirmed cases of neglect and abuse in public residential facilities for people with intellectual disabilities across six US states found that 80% involved physical abuse (McCartney &amp; Campbell,</w:t>
      </w:r>
      <w:r w:rsidR="00AE27C0">
        <w:rPr>
          <w:rFonts w:asciiTheme="majorBidi" w:hAnsiTheme="majorBidi" w:cstheme="majorBidi"/>
          <w:sz w:val="24"/>
          <w:szCs w:val="24"/>
        </w:rPr>
        <w:t xml:space="preserve"> </w:t>
      </w:r>
      <w:r w:rsidRPr="00E51FA9">
        <w:rPr>
          <w:rFonts w:asciiTheme="majorBidi" w:hAnsiTheme="majorBidi" w:cstheme="majorBidi"/>
          <w:sz w:val="24"/>
          <w:szCs w:val="24"/>
        </w:rPr>
        <w:t xml:space="preserve">1998) </w:t>
      </w:r>
    </w:p>
    <w:p w14:paraId="3205E4E0" w14:textId="06DC0D1D"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The literature suggests that most cases of abuse occur in institutional or service settings, and that </w:t>
      </w:r>
      <w:r w:rsidR="005341E1" w:rsidRPr="00E51FA9">
        <w:rPr>
          <w:rFonts w:asciiTheme="majorBidi" w:hAnsiTheme="majorBidi" w:cstheme="majorBidi"/>
          <w:sz w:val="24"/>
          <w:szCs w:val="24"/>
        </w:rPr>
        <w:t xml:space="preserve">in most cases </w:t>
      </w:r>
      <w:r w:rsidRPr="00E51FA9">
        <w:rPr>
          <w:rFonts w:asciiTheme="majorBidi" w:hAnsiTheme="majorBidi" w:cstheme="majorBidi"/>
          <w:sz w:val="24"/>
          <w:szCs w:val="24"/>
        </w:rPr>
        <w:t>perpetrators are known to the victim. For example, a UK study found that most (63%) adult protection cases involving people with intellectual disabilities occurred in residential care service and the most frequently reported perpetrators were direct care staff (Beadle-Brown et al., 2010). Similarly, a UK 15-year longitudinal study of 118 confirmed cases of sexual abuse found that in 99% of cases involving sexual abuse of people with intellectual disability the perpetrator was known to the victim (McCormack et al., 2005</w:t>
      </w:r>
      <w:r w:rsidR="005341E1" w:rsidRPr="00E51FA9">
        <w:rPr>
          <w:rFonts w:asciiTheme="majorBidi" w:hAnsiTheme="majorBidi" w:cstheme="majorBidi"/>
          <w:sz w:val="24"/>
          <w:szCs w:val="24"/>
        </w:rPr>
        <w:t>)</w:t>
      </w:r>
      <w:r w:rsidRPr="00E51FA9">
        <w:rPr>
          <w:rFonts w:asciiTheme="majorBidi" w:hAnsiTheme="majorBidi" w:cstheme="majorBidi"/>
          <w:sz w:val="24"/>
          <w:szCs w:val="24"/>
        </w:rPr>
        <w:t>. In this study 54% of the perpetrators were peers with intellectual disabilities and 43% were people involved in the care of the person. Earlier studies by Brown et al. (1995) also identified that perpetrators w</w:t>
      </w:r>
      <w:r w:rsidR="00937EBD">
        <w:rPr>
          <w:rFonts w:asciiTheme="majorBidi" w:hAnsiTheme="majorBidi" w:cstheme="majorBidi"/>
          <w:sz w:val="24"/>
          <w:szCs w:val="24"/>
        </w:rPr>
        <w:t>ere predominantly either family</w:t>
      </w:r>
      <w:r w:rsidR="005341E1" w:rsidRPr="00E51FA9">
        <w:rPr>
          <w:rFonts w:asciiTheme="majorBidi" w:hAnsiTheme="majorBidi" w:cstheme="majorBidi"/>
          <w:sz w:val="24"/>
          <w:szCs w:val="24"/>
        </w:rPr>
        <w:t>,</w:t>
      </w:r>
      <w:r w:rsidR="00937EBD">
        <w:rPr>
          <w:rFonts w:asciiTheme="majorBidi" w:hAnsiTheme="majorBidi" w:cstheme="majorBidi"/>
          <w:sz w:val="24"/>
          <w:szCs w:val="24"/>
        </w:rPr>
        <w:t xml:space="preserve"> </w:t>
      </w:r>
      <w:r w:rsidRPr="00E51FA9">
        <w:rPr>
          <w:rFonts w:asciiTheme="majorBidi" w:hAnsiTheme="majorBidi" w:cstheme="majorBidi"/>
          <w:sz w:val="24"/>
          <w:szCs w:val="24"/>
        </w:rPr>
        <w:t>paid staff or peers with intellectual disabilities. Similarly, in their analysis of 161 cases of sexual abuse, Sobsey and Doe (1991) found that while abusers can be strangers (8%), casual acquaintances (15%), or other individuals with disabilities (7%), most commonly they are a family member or a paid service provider involved in the care of the person with a disability.</w:t>
      </w:r>
    </w:p>
    <w:p w14:paraId="272A2943" w14:textId="122CE439" w:rsidR="00AB6044" w:rsidRPr="00E51FA9" w:rsidRDefault="00937EBD" w:rsidP="00AB6044">
      <w:pPr>
        <w:spacing w:after="120" w:line="360" w:lineRule="auto"/>
        <w:rPr>
          <w:rFonts w:asciiTheme="majorBidi" w:hAnsiTheme="majorBidi" w:cstheme="majorBidi"/>
          <w:sz w:val="24"/>
          <w:szCs w:val="24"/>
        </w:rPr>
      </w:pPr>
      <w:r>
        <w:rPr>
          <w:rFonts w:asciiTheme="majorBidi" w:hAnsiTheme="majorBidi" w:cstheme="majorBidi"/>
          <w:sz w:val="24"/>
          <w:szCs w:val="24"/>
        </w:rPr>
        <w:t>E</w:t>
      </w:r>
      <w:r w:rsidR="00AB6044" w:rsidRPr="00E51FA9">
        <w:rPr>
          <w:rFonts w:asciiTheme="majorBidi" w:hAnsiTheme="majorBidi" w:cstheme="majorBidi"/>
          <w:sz w:val="24"/>
          <w:szCs w:val="24"/>
        </w:rPr>
        <w:t>stimates of abuse vary widely, depending on the definitions of abuse and disability used, and data collection methods. This limits comparison of data between vulnerable groups and the general population. Indeed, Murphy (2007) and Brown (199</w:t>
      </w:r>
      <w:r w:rsidR="004F30C8">
        <w:rPr>
          <w:rFonts w:asciiTheme="majorBidi" w:hAnsiTheme="majorBidi" w:cstheme="majorBidi"/>
          <w:sz w:val="24"/>
          <w:szCs w:val="24"/>
        </w:rPr>
        <w:t>5</w:t>
      </w:r>
      <w:r w:rsidR="00AB6044" w:rsidRPr="00E51FA9">
        <w:rPr>
          <w:rFonts w:asciiTheme="majorBidi" w:hAnsiTheme="majorBidi" w:cstheme="majorBidi"/>
          <w:sz w:val="24"/>
          <w:szCs w:val="24"/>
        </w:rPr>
        <w:t xml:space="preserve">) point out that the available data on the </w:t>
      </w:r>
      <w:r w:rsidR="00AB6044" w:rsidRPr="00E51FA9">
        <w:rPr>
          <w:rFonts w:asciiTheme="majorBidi" w:hAnsiTheme="majorBidi" w:cstheme="majorBidi"/>
          <w:sz w:val="24"/>
          <w:szCs w:val="24"/>
        </w:rPr>
        <w:lastRenderedPageBreak/>
        <w:t>incidence and prevalence of abuse perpetrated towards people with intellectual disability is likely to be only the ‘tip of the iceberg’ given the poor recognition and under-reporting of abuse. The fact that victims of abuse are more likely to know, live and rely on their perpetrators for care adds an additional layer of complexity to the understanding of the phenomena (Murphy</w:t>
      </w:r>
      <w:r w:rsidR="00AE27C0">
        <w:rPr>
          <w:rFonts w:asciiTheme="majorBidi" w:hAnsiTheme="majorBidi" w:cstheme="majorBidi"/>
          <w:sz w:val="24"/>
          <w:szCs w:val="24"/>
        </w:rPr>
        <w:t>,</w:t>
      </w:r>
      <w:r w:rsidR="00AB6044" w:rsidRPr="00E51FA9">
        <w:rPr>
          <w:rFonts w:asciiTheme="majorBidi" w:hAnsiTheme="majorBidi" w:cstheme="majorBidi"/>
          <w:sz w:val="24"/>
          <w:szCs w:val="24"/>
        </w:rPr>
        <w:t xml:space="preserve"> 2007).</w:t>
      </w:r>
    </w:p>
    <w:p w14:paraId="177DB88C" w14:textId="77777777" w:rsidR="00AB6044" w:rsidRPr="00F1368D" w:rsidRDefault="00AB6044" w:rsidP="0019074D">
      <w:pPr>
        <w:spacing w:after="120" w:line="360" w:lineRule="auto"/>
        <w:outlineLvl w:val="0"/>
        <w:rPr>
          <w:rFonts w:asciiTheme="majorBidi" w:hAnsiTheme="majorBidi" w:cstheme="majorBidi"/>
          <w:b/>
          <w:i/>
          <w:sz w:val="24"/>
          <w:szCs w:val="24"/>
        </w:rPr>
      </w:pPr>
      <w:r w:rsidRPr="00F1368D">
        <w:rPr>
          <w:rFonts w:asciiTheme="majorBidi" w:hAnsiTheme="majorBidi" w:cstheme="majorBidi"/>
          <w:b/>
          <w:i/>
          <w:sz w:val="24"/>
          <w:szCs w:val="24"/>
        </w:rPr>
        <w:t>Impact</w:t>
      </w:r>
    </w:p>
    <w:p w14:paraId="4D1D9818" w14:textId="621F9A20"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Research shows that abuse has far-reaching and life-long consequences for victim</w:t>
      </w:r>
      <w:r w:rsidR="005341E1" w:rsidRPr="00E51FA9">
        <w:rPr>
          <w:rFonts w:asciiTheme="majorBidi" w:hAnsiTheme="majorBidi" w:cstheme="majorBidi"/>
          <w:sz w:val="24"/>
          <w:szCs w:val="24"/>
        </w:rPr>
        <w:t>`</w:t>
      </w:r>
      <w:r w:rsidRPr="00E51FA9">
        <w:rPr>
          <w:rFonts w:asciiTheme="majorBidi" w:hAnsiTheme="majorBidi" w:cstheme="majorBidi"/>
          <w:sz w:val="24"/>
          <w:szCs w:val="24"/>
        </w:rPr>
        <w:t>s physical health, well-being and socio-psychological functioning (Anda et al., 2006; Brown et al., 2009; Knudsen et al.</w:t>
      </w:r>
      <w:r w:rsidR="00937EBD">
        <w:rPr>
          <w:rFonts w:asciiTheme="majorBidi" w:hAnsiTheme="majorBidi" w:cstheme="majorBidi"/>
          <w:sz w:val="24"/>
          <w:szCs w:val="24"/>
        </w:rPr>
        <w:t>,</w:t>
      </w:r>
      <w:r w:rsidRPr="00E51FA9">
        <w:rPr>
          <w:rFonts w:asciiTheme="majorBidi" w:hAnsiTheme="majorBidi" w:cstheme="majorBidi"/>
          <w:sz w:val="24"/>
          <w:szCs w:val="24"/>
        </w:rPr>
        <w:t xml:space="preserve"> 2006; Mercy &amp; Saul, 2009; Shonkoff et al., 2009; Shonkoff &amp; Garner, 2012). However, while consequences have been studied in the general population, little systematic research has explored the impact of abuse for people with intellectual disabilities in care service system</w:t>
      </w:r>
      <w:r w:rsidR="00111372">
        <w:rPr>
          <w:rFonts w:asciiTheme="majorBidi" w:hAnsiTheme="majorBidi" w:cstheme="majorBidi"/>
          <w:sz w:val="24"/>
          <w:szCs w:val="24"/>
        </w:rPr>
        <w:t>s</w:t>
      </w:r>
      <w:r w:rsidRPr="00E51FA9">
        <w:rPr>
          <w:rFonts w:asciiTheme="majorBidi" w:hAnsiTheme="majorBidi" w:cstheme="majorBidi"/>
          <w:sz w:val="24"/>
          <w:szCs w:val="24"/>
        </w:rPr>
        <w:t xml:space="preserve"> (</w:t>
      </w:r>
      <w:r w:rsidR="005E301D">
        <w:rPr>
          <w:rFonts w:asciiTheme="majorBidi" w:hAnsiTheme="majorBidi" w:cstheme="majorBidi"/>
          <w:sz w:val="24"/>
          <w:szCs w:val="24"/>
        </w:rPr>
        <w:t xml:space="preserve">Murphy et al., </w:t>
      </w:r>
      <w:r w:rsidR="00861FCE">
        <w:rPr>
          <w:rFonts w:asciiTheme="majorBidi" w:hAnsiTheme="majorBidi" w:cstheme="majorBidi"/>
          <w:sz w:val="24"/>
          <w:szCs w:val="24"/>
        </w:rPr>
        <w:t>2007;</w:t>
      </w:r>
      <w:r w:rsidR="00861FCE" w:rsidRPr="00E51FA9">
        <w:rPr>
          <w:rFonts w:asciiTheme="majorBidi" w:hAnsiTheme="majorBidi" w:cstheme="majorBidi"/>
          <w:sz w:val="24"/>
          <w:szCs w:val="24"/>
        </w:rPr>
        <w:t xml:space="preserve"> Rowsell</w:t>
      </w:r>
      <w:r w:rsidRPr="00E51FA9">
        <w:rPr>
          <w:rFonts w:asciiTheme="majorBidi" w:hAnsiTheme="majorBidi" w:cstheme="majorBidi"/>
          <w:sz w:val="24"/>
          <w:szCs w:val="24"/>
        </w:rPr>
        <w:t xml:space="preserve"> et al., 2013</w:t>
      </w:r>
      <w:r w:rsidR="00AE27C0" w:rsidRPr="00E51FA9">
        <w:rPr>
          <w:rFonts w:asciiTheme="majorBidi" w:hAnsiTheme="majorBidi" w:cstheme="majorBidi"/>
          <w:sz w:val="24"/>
          <w:szCs w:val="24"/>
        </w:rPr>
        <w:t>;</w:t>
      </w:r>
      <w:r w:rsidR="00AE27C0" w:rsidRPr="00AE27C0">
        <w:rPr>
          <w:rFonts w:asciiTheme="majorBidi" w:hAnsiTheme="majorBidi" w:cstheme="majorBidi"/>
          <w:sz w:val="24"/>
          <w:szCs w:val="24"/>
        </w:rPr>
        <w:t xml:space="preserve"> </w:t>
      </w:r>
      <w:r w:rsidR="00AE27C0" w:rsidRPr="00E51FA9">
        <w:rPr>
          <w:rFonts w:asciiTheme="majorBidi" w:hAnsiTheme="majorBidi" w:cstheme="majorBidi"/>
          <w:sz w:val="24"/>
          <w:szCs w:val="24"/>
        </w:rPr>
        <w:t>Wigham et al., 2011</w:t>
      </w:r>
      <w:r w:rsidRPr="00E51FA9">
        <w:rPr>
          <w:rFonts w:asciiTheme="majorBidi" w:hAnsiTheme="majorBidi" w:cstheme="majorBidi"/>
          <w:sz w:val="24"/>
          <w:szCs w:val="24"/>
        </w:rPr>
        <w:t xml:space="preserve">). </w:t>
      </w:r>
    </w:p>
    <w:p w14:paraId="0360A445" w14:textId="3C2D48B5"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The little research there is indicates that people with intellectual disabilities experience similar detrimental effects of abuse to those found in the general population. A study exploring the psychological impact of abuse for a small group of individuals with severe intellectual disabilities and very limited communication skills found that family members and care staff perceived victims as displaying increased frequency and severity of emotional, physiological and behavioural symptoms of psychological distress (Rowsell et al., 2013). In a comparison of </w:t>
      </w:r>
      <w:r w:rsidR="005341E1" w:rsidRPr="00E51FA9">
        <w:rPr>
          <w:rFonts w:asciiTheme="majorBidi" w:hAnsiTheme="majorBidi" w:cstheme="majorBidi"/>
          <w:sz w:val="24"/>
          <w:szCs w:val="24"/>
        </w:rPr>
        <w:t>people</w:t>
      </w:r>
      <w:r w:rsidRPr="00E51FA9">
        <w:rPr>
          <w:rFonts w:asciiTheme="majorBidi" w:hAnsiTheme="majorBidi" w:cstheme="majorBidi"/>
          <w:sz w:val="24"/>
          <w:szCs w:val="24"/>
        </w:rPr>
        <w:t xml:space="preserve"> with intellectual disability who had experienced abuse with those with no history of abuse, Sequeira et al. (2003) found that </w:t>
      </w:r>
      <w:r w:rsidR="005341E1" w:rsidRPr="00E51FA9">
        <w:rPr>
          <w:rFonts w:asciiTheme="majorBidi" w:hAnsiTheme="majorBidi" w:cstheme="majorBidi"/>
          <w:sz w:val="24"/>
          <w:szCs w:val="24"/>
        </w:rPr>
        <w:t>people</w:t>
      </w:r>
      <w:r w:rsidRPr="00E51FA9">
        <w:rPr>
          <w:rFonts w:asciiTheme="majorBidi" w:hAnsiTheme="majorBidi" w:cstheme="majorBidi"/>
          <w:sz w:val="24"/>
          <w:szCs w:val="24"/>
        </w:rPr>
        <w:t xml:space="preserve"> who had been abused displayed higher levels of trauma, anger, depression, self-harm behaviours, withdrawal, anxiety and other stereotypical behaviours. Other studies exploring the impact of sexual abuse on individuals with intellectual disability have found a strong associa</w:t>
      </w:r>
      <w:r w:rsidR="007700C4" w:rsidRPr="00E51FA9">
        <w:rPr>
          <w:rFonts w:asciiTheme="majorBidi" w:hAnsiTheme="majorBidi" w:cstheme="majorBidi"/>
          <w:sz w:val="24"/>
          <w:szCs w:val="24"/>
        </w:rPr>
        <w:t>tion between</w:t>
      </w:r>
      <w:r w:rsidR="00BB458B">
        <w:rPr>
          <w:rFonts w:asciiTheme="majorBidi" w:hAnsiTheme="majorBidi" w:cstheme="majorBidi"/>
          <w:sz w:val="24"/>
          <w:szCs w:val="24"/>
        </w:rPr>
        <w:t xml:space="preserve"> a</w:t>
      </w:r>
      <w:r w:rsidR="007700C4" w:rsidRPr="00E51FA9">
        <w:rPr>
          <w:rFonts w:asciiTheme="majorBidi" w:hAnsiTheme="majorBidi" w:cstheme="majorBidi"/>
          <w:sz w:val="24"/>
          <w:szCs w:val="24"/>
        </w:rPr>
        <w:t xml:space="preserve"> history of sexual</w:t>
      </w:r>
      <w:r w:rsidRPr="00E51FA9">
        <w:rPr>
          <w:rFonts w:asciiTheme="majorBidi" w:hAnsiTheme="majorBidi" w:cstheme="majorBidi"/>
          <w:sz w:val="24"/>
          <w:szCs w:val="24"/>
        </w:rPr>
        <w:t xml:space="preserve"> assault and challenging behaviours, self-harm and sexualized behaviour (</w:t>
      </w:r>
      <w:r w:rsidR="00AE0003" w:rsidRPr="00E51FA9">
        <w:rPr>
          <w:rFonts w:asciiTheme="majorBidi" w:hAnsiTheme="majorBidi" w:cstheme="majorBidi"/>
          <w:sz w:val="24"/>
          <w:szCs w:val="24"/>
        </w:rPr>
        <w:t>Hulbert-Williams &amp; Hastings</w:t>
      </w:r>
      <w:r w:rsidRPr="00E51FA9">
        <w:rPr>
          <w:rFonts w:asciiTheme="majorBidi" w:hAnsiTheme="majorBidi" w:cstheme="majorBidi"/>
          <w:sz w:val="24"/>
          <w:szCs w:val="24"/>
        </w:rPr>
        <w:t>, 2008; Rowsell et al., 2013).</w:t>
      </w:r>
    </w:p>
    <w:p w14:paraId="2D8A8C7C" w14:textId="77777777" w:rsidR="00AB6044" w:rsidRPr="00F1368D" w:rsidRDefault="00AB6044" w:rsidP="0019074D">
      <w:pPr>
        <w:spacing w:after="120" w:line="360" w:lineRule="auto"/>
        <w:outlineLvl w:val="0"/>
        <w:rPr>
          <w:rFonts w:asciiTheme="majorBidi" w:hAnsiTheme="majorBidi" w:cstheme="majorBidi"/>
          <w:i/>
          <w:sz w:val="24"/>
          <w:szCs w:val="24"/>
          <w:u w:val="single"/>
        </w:rPr>
      </w:pPr>
      <w:bookmarkStart w:id="5" w:name="_Hlk494341986"/>
      <w:r w:rsidRPr="00F1368D">
        <w:rPr>
          <w:rFonts w:asciiTheme="majorBidi" w:hAnsiTheme="majorBidi" w:cstheme="majorBidi"/>
          <w:b/>
          <w:i/>
          <w:sz w:val="24"/>
          <w:szCs w:val="24"/>
        </w:rPr>
        <w:t>Risk factors for violence and abuse</w:t>
      </w:r>
    </w:p>
    <w:p w14:paraId="77F85EDD" w14:textId="171269F2" w:rsidR="009238F1"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An emerging body of literature attempts to understand factors associated with the higher prevalence of abuse against people with intellectual disabilities, in general and in disability services in particular. Most of this literature </w:t>
      </w:r>
      <w:r w:rsidR="003E75F1">
        <w:rPr>
          <w:rFonts w:asciiTheme="majorBidi" w:hAnsiTheme="majorBidi" w:cstheme="majorBidi"/>
          <w:sz w:val="24"/>
          <w:szCs w:val="24"/>
        </w:rPr>
        <w:t xml:space="preserve">has its foundations </w:t>
      </w:r>
      <w:r w:rsidRPr="00E51FA9">
        <w:rPr>
          <w:rFonts w:asciiTheme="majorBidi" w:hAnsiTheme="majorBidi" w:cstheme="majorBidi"/>
          <w:sz w:val="24"/>
          <w:szCs w:val="24"/>
        </w:rPr>
        <w:t>in the socio-ecological framework and defines the person’s vulnerability to abuse as an outcome of an interactive process between the social context in which the person lives and a set of underlying personal factors, that when present place the perso</w:t>
      </w:r>
      <w:r w:rsidR="00A55AA3" w:rsidRPr="00E51FA9">
        <w:rPr>
          <w:rFonts w:asciiTheme="majorBidi" w:hAnsiTheme="majorBidi" w:cstheme="majorBidi"/>
          <w:sz w:val="24"/>
          <w:szCs w:val="24"/>
        </w:rPr>
        <w:t>n at</w:t>
      </w:r>
      <w:r w:rsidRPr="00E51FA9">
        <w:rPr>
          <w:rFonts w:asciiTheme="majorBidi" w:hAnsiTheme="majorBidi" w:cstheme="majorBidi"/>
          <w:sz w:val="24"/>
          <w:szCs w:val="24"/>
        </w:rPr>
        <w:t xml:space="preserve"> risk of abuse (Blum et al.</w:t>
      </w:r>
      <w:r w:rsidR="009238F1" w:rsidRPr="00E51FA9">
        <w:rPr>
          <w:rFonts w:asciiTheme="majorBidi" w:hAnsiTheme="majorBidi" w:cstheme="majorBidi"/>
          <w:sz w:val="24"/>
          <w:szCs w:val="24"/>
        </w:rPr>
        <w:t>, 2001</w:t>
      </w:r>
      <w:r w:rsidRPr="00E51FA9">
        <w:rPr>
          <w:rFonts w:asciiTheme="majorBidi" w:hAnsiTheme="majorBidi" w:cstheme="majorBidi"/>
          <w:sz w:val="24"/>
          <w:szCs w:val="24"/>
        </w:rPr>
        <w:t>).</w:t>
      </w:r>
    </w:p>
    <w:p w14:paraId="7BB5A6C2" w14:textId="77777777" w:rsidR="005341E1" w:rsidRPr="00E51FA9" w:rsidRDefault="005341E1">
      <w:pPr>
        <w:spacing w:after="200" w:line="276" w:lineRule="auto"/>
        <w:rPr>
          <w:rFonts w:asciiTheme="majorBidi" w:hAnsiTheme="majorBidi" w:cstheme="majorBidi"/>
          <w:b/>
          <w:bCs/>
          <w:i/>
          <w:sz w:val="24"/>
          <w:szCs w:val="24"/>
        </w:rPr>
      </w:pPr>
      <w:r w:rsidRPr="00E51FA9">
        <w:rPr>
          <w:rFonts w:asciiTheme="majorBidi" w:hAnsiTheme="majorBidi" w:cstheme="majorBidi"/>
          <w:b/>
          <w:bCs/>
          <w:i/>
          <w:sz w:val="24"/>
          <w:szCs w:val="24"/>
        </w:rPr>
        <w:br w:type="page"/>
      </w:r>
    </w:p>
    <w:p w14:paraId="1F22F75D" w14:textId="35788180" w:rsidR="00AB6044" w:rsidRPr="00E51FA9" w:rsidRDefault="00AB6044" w:rsidP="0019074D">
      <w:pPr>
        <w:spacing w:after="120" w:line="360" w:lineRule="auto"/>
        <w:outlineLvl w:val="0"/>
        <w:rPr>
          <w:rFonts w:asciiTheme="majorBidi" w:hAnsiTheme="majorBidi" w:cstheme="majorBidi"/>
          <w:b/>
          <w:bCs/>
          <w:i/>
          <w:sz w:val="24"/>
          <w:szCs w:val="24"/>
        </w:rPr>
      </w:pPr>
      <w:bookmarkStart w:id="6" w:name="_Hlk494342151"/>
      <w:bookmarkEnd w:id="5"/>
      <w:r w:rsidRPr="00E51FA9">
        <w:rPr>
          <w:rFonts w:asciiTheme="majorBidi" w:hAnsiTheme="majorBidi" w:cstheme="majorBidi"/>
          <w:b/>
          <w:bCs/>
          <w:i/>
          <w:sz w:val="24"/>
          <w:szCs w:val="24"/>
        </w:rPr>
        <w:lastRenderedPageBreak/>
        <w:t xml:space="preserve">Individuals with disabilities </w:t>
      </w:r>
      <w:r w:rsidR="00C11FEE">
        <w:rPr>
          <w:rFonts w:asciiTheme="majorBidi" w:hAnsiTheme="majorBidi" w:cstheme="majorBidi"/>
          <w:b/>
          <w:bCs/>
          <w:i/>
          <w:sz w:val="24"/>
          <w:szCs w:val="24"/>
        </w:rPr>
        <w:t xml:space="preserve">- </w:t>
      </w:r>
      <w:r w:rsidRPr="00E51FA9">
        <w:rPr>
          <w:rFonts w:asciiTheme="majorBidi" w:hAnsiTheme="majorBidi" w:cstheme="majorBidi"/>
          <w:b/>
          <w:bCs/>
          <w:i/>
          <w:sz w:val="24"/>
          <w:szCs w:val="24"/>
        </w:rPr>
        <w:t>personal risk factors</w:t>
      </w:r>
    </w:p>
    <w:bookmarkEnd w:id="6"/>
    <w:p w14:paraId="1B786B73" w14:textId="7168ABD8"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Some scholars propose that the very characteristics associated with intellectual disability are a key risk factor for abuse on the basis that cognitive impairment hampers the individual’s ability to recognise and respond appropriately to situations where danger exists</w:t>
      </w:r>
      <w:r w:rsidR="00290B0D" w:rsidRPr="00E51FA9">
        <w:t xml:space="preserve"> </w:t>
      </w:r>
      <w:r w:rsidR="00290B0D" w:rsidRPr="00E51FA9">
        <w:rPr>
          <w:rFonts w:asciiTheme="majorBidi" w:hAnsiTheme="majorBidi" w:cstheme="majorBidi"/>
          <w:sz w:val="24"/>
          <w:szCs w:val="24"/>
        </w:rPr>
        <w:t>(</w:t>
      </w:r>
      <w:r w:rsidR="00BB458B" w:rsidRPr="00E51FA9">
        <w:rPr>
          <w:rFonts w:asciiTheme="majorBidi" w:hAnsiTheme="majorBidi" w:cstheme="majorBidi"/>
          <w:sz w:val="24"/>
          <w:szCs w:val="24"/>
        </w:rPr>
        <w:t>Casteel et al., 2008; McCartney &amp; Campbell, 1998</w:t>
      </w:r>
      <w:r w:rsidR="00BB458B">
        <w:rPr>
          <w:rFonts w:asciiTheme="majorBidi" w:hAnsiTheme="majorBidi" w:cstheme="majorBidi"/>
          <w:sz w:val="24"/>
          <w:szCs w:val="24"/>
        </w:rPr>
        <w:t xml:space="preserve">; </w:t>
      </w:r>
      <w:r w:rsidR="00290B0D" w:rsidRPr="00E51FA9">
        <w:rPr>
          <w:rFonts w:asciiTheme="majorBidi" w:hAnsiTheme="majorBidi" w:cstheme="majorBidi"/>
          <w:sz w:val="24"/>
          <w:szCs w:val="24"/>
        </w:rPr>
        <w:t>Rusch</w:t>
      </w:r>
      <w:r w:rsidR="00BB458B">
        <w:rPr>
          <w:rFonts w:asciiTheme="majorBidi" w:hAnsiTheme="majorBidi" w:cstheme="majorBidi"/>
          <w:sz w:val="24"/>
          <w:szCs w:val="24"/>
        </w:rPr>
        <w:t xml:space="preserve"> et al.,</w:t>
      </w:r>
      <w:r w:rsidR="00290B0D" w:rsidRPr="00E51FA9">
        <w:rPr>
          <w:rFonts w:asciiTheme="majorBidi" w:hAnsiTheme="majorBidi" w:cstheme="majorBidi"/>
          <w:sz w:val="24"/>
          <w:szCs w:val="24"/>
        </w:rPr>
        <w:t xml:space="preserve"> 1986)</w:t>
      </w:r>
      <w:r w:rsidR="00BB458B">
        <w:rPr>
          <w:rFonts w:asciiTheme="majorBidi" w:hAnsiTheme="majorBidi" w:cstheme="majorBidi"/>
          <w:sz w:val="24"/>
          <w:szCs w:val="24"/>
        </w:rPr>
        <w:t>.</w:t>
      </w:r>
      <w:r w:rsidRPr="00E51FA9">
        <w:rPr>
          <w:rFonts w:asciiTheme="majorBidi" w:hAnsiTheme="majorBidi" w:cstheme="majorBidi"/>
          <w:sz w:val="24"/>
          <w:szCs w:val="24"/>
        </w:rPr>
        <w:t xml:space="preserve"> </w:t>
      </w:r>
      <w:r w:rsidR="00861FCE" w:rsidRPr="00E51FA9">
        <w:rPr>
          <w:rFonts w:asciiTheme="majorBidi" w:hAnsiTheme="majorBidi" w:cstheme="majorBidi"/>
          <w:sz w:val="24"/>
          <w:szCs w:val="24"/>
        </w:rPr>
        <w:t xml:space="preserve">Severity of cognitive impairment magnifies risk as a number of studies have found that the vast majority of people with intellectual disabilities exposed to abuse have severe or profound intellectual disability </w:t>
      </w:r>
      <w:bookmarkStart w:id="7" w:name="_Hlk494256460"/>
      <w:r w:rsidR="00861FCE" w:rsidRPr="00E51FA9">
        <w:rPr>
          <w:rFonts w:asciiTheme="majorBidi" w:hAnsiTheme="majorBidi" w:cstheme="majorBidi"/>
          <w:sz w:val="24"/>
          <w:szCs w:val="24"/>
        </w:rPr>
        <w:t>(Casteel et al., 2008</w:t>
      </w:r>
      <w:r w:rsidR="00861FCE">
        <w:rPr>
          <w:rFonts w:asciiTheme="majorBidi" w:hAnsiTheme="majorBidi" w:cstheme="majorBidi"/>
          <w:sz w:val="24"/>
          <w:szCs w:val="24"/>
        </w:rPr>
        <w:t xml:space="preserve">; </w:t>
      </w:r>
      <w:r w:rsidR="00861FCE" w:rsidRPr="00E51FA9">
        <w:rPr>
          <w:rFonts w:asciiTheme="majorBidi" w:hAnsiTheme="majorBidi" w:cstheme="majorBidi"/>
          <w:sz w:val="24"/>
          <w:szCs w:val="24"/>
        </w:rPr>
        <w:t>McCartney &amp; Campbell, 1998;</w:t>
      </w:r>
      <w:r w:rsidR="00861FCE">
        <w:rPr>
          <w:rFonts w:asciiTheme="majorBidi" w:hAnsiTheme="majorBidi" w:cstheme="majorBidi"/>
          <w:sz w:val="24"/>
          <w:szCs w:val="24"/>
        </w:rPr>
        <w:t xml:space="preserve"> </w:t>
      </w:r>
      <w:r w:rsidR="00861FCE" w:rsidRPr="00E51FA9">
        <w:rPr>
          <w:rFonts w:asciiTheme="majorBidi" w:hAnsiTheme="majorBidi" w:cstheme="majorBidi"/>
          <w:sz w:val="24"/>
          <w:szCs w:val="24"/>
        </w:rPr>
        <w:t xml:space="preserve">Rusch </w:t>
      </w:r>
      <w:r w:rsidR="00861FCE">
        <w:rPr>
          <w:rFonts w:asciiTheme="majorBidi" w:hAnsiTheme="majorBidi" w:cstheme="majorBidi"/>
          <w:sz w:val="24"/>
          <w:szCs w:val="24"/>
        </w:rPr>
        <w:t>et al.</w:t>
      </w:r>
      <w:r w:rsidR="00861FCE" w:rsidRPr="00E51FA9">
        <w:rPr>
          <w:rFonts w:asciiTheme="majorBidi" w:hAnsiTheme="majorBidi" w:cstheme="majorBidi"/>
          <w:sz w:val="24"/>
          <w:szCs w:val="24"/>
        </w:rPr>
        <w:t>, 1986</w:t>
      </w:r>
      <w:bookmarkEnd w:id="7"/>
      <w:r w:rsidR="00861FCE" w:rsidRPr="00E51FA9">
        <w:rPr>
          <w:rFonts w:asciiTheme="majorBidi" w:hAnsiTheme="majorBidi" w:cstheme="majorBidi"/>
          <w:sz w:val="24"/>
          <w:szCs w:val="24"/>
        </w:rPr>
        <w:t xml:space="preserve">). </w:t>
      </w:r>
      <w:r w:rsidRPr="00E51FA9">
        <w:rPr>
          <w:rFonts w:asciiTheme="majorBidi" w:hAnsiTheme="majorBidi" w:cstheme="majorBidi"/>
          <w:sz w:val="24"/>
          <w:szCs w:val="24"/>
        </w:rPr>
        <w:t xml:space="preserve">Similarly, statistical analysis of abuse cases in US public residential facilities for people with intellectual disabilities, found that having challenging behaviour and communication difficulties increased the probability of being abused (McCartney &amp; Campbell, 1998). </w:t>
      </w:r>
    </w:p>
    <w:p w14:paraId="75BEEB3F" w14:textId="0B2F0477"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Many of the risk factors of abuse identified in the general population are particularly prevalent among </w:t>
      </w:r>
      <w:r w:rsidR="00290B0D" w:rsidRPr="00E51FA9">
        <w:rPr>
          <w:rFonts w:asciiTheme="majorBidi" w:hAnsiTheme="majorBidi" w:cstheme="majorBidi"/>
          <w:sz w:val="24"/>
          <w:szCs w:val="24"/>
        </w:rPr>
        <w:t>people</w:t>
      </w:r>
      <w:r w:rsidRPr="00E51FA9">
        <w:rPr>
          <w:rFonts w:asciiTheme="majorBidi" w:hAnsiTheme="majorBidi" w:cstheme="majorBidi"/>
          <w:sz w:val="24"/>
          <w:szCs w:val="24"/>
        </w:rPr>
        <w:t xml:space="preserve"> with intellectual disability. These include poverty, low self-esteem, unemployment, poor-quality health care, exposure to history of violence and abuse, restricted access to essential services, dependency on others, smaller social networks, inadequate housing, and social stereotypes of vulnerability (Fawcett, 200</w:t>
      </w:r>
      <w:r w:rsidR="00BB458B">
        <w:rPr>
          <w:rFonts w:asciiTheme="majorBidi" w:hAnsiTheme="majorBidi" w:cstheme="majorBidi"/>
          <w:sz w:val="24"/>
          <w:szCs w:val="24"/>
        </w:rPr>
        <w:t>9</w:t>
      </w:r>
      <w:r w:rsidRPr="00E51FA9">
        <w:rPr>
          <w:rFonts w:asciiTheme="majorBidi" w:hAnsiTheme="majorBidi" w:cstheme="majorBidi"/>
          <w:sz w:val="24"/>
          <w:szCs w:val="24"/>
        </w:rPr>
        <w:t xml:space="preserve">; </w:t>
      </w:r>
      <w:r w:rsidR="00004D91" w:rsidRPr="00E51FA9">
        <w:rPr>
          <w:rFonts w:asciiTheme="majorBidi" w:hAnsiTheme="majorBidi" w:cstheme="majorBidi"/>
          <w:sz w:val="24"/>
          <w:szCs w:val="24"/>
        </w:rPr>
        <w:t>Ortoleva &amp; Lewis,</w:t>
      </w:r>
      <w:r w:rsidR="00004D91">
        <w:rPr>
          <w:rFonts w:asciiTheme="majorBidi" w:hAnsiTheme="majorBidi" w:cstheme="majorBidi"/>
          <w:sz w:val="24"/>
          <w:szCs w:val="24"/>
        </w:rPr>
        <w:t xml:space="preserve"> </w:t>
      </w:r>
      <w:r w:rsidR="00004D91" w:rsidRPr="00E51FA9">
        <w:rPr>
          <w:rFonts w:asciiTheme="majorBidi" w:hAnsiTheme="majorBidi" w:cstheme="majorBidi"/>
          <w:sz w:val="24"/>
          <w:szCs w:val="24"/>
        </w:rPr>
        <w:t>2012</w:t>
      </w:r>
      <w:r w:rsidR="00004D91">
        <w:rPr>
          <w:rFonts w:asciiTheme="majorBidi" w:hAnsiTheme="majorBidi" w:cstheme="majorBidi"/>
          <w:sz w:val="24"/>
          <w:szCs w:val="24"/>
        </w:rPr>
        <w:t xml:space="preserve">; </w:t>
      </w:r>
      <w:r w:rsidRPr="00E51FA9">
        <w:rPr>
          <w:rFonts w:asciiTheme="majorBidi" w:hAnsiTheme="majorBidi" w:cstheme="majorBidi"/>
          <w:sz w:val="24"/>
          <w:szCs w:val="24"/>
        </w:rPr>
        <w:t xml:space="preserve">Robinson, 2013). This suggests that the vulnerability of people with intellectual disability to abuse is strongly associated with their socio-demographic characteristics, and societies’ structural, social and political responses to their needs (Robinson, 2013). </w:t>
      </w:r>
    </w:p>
    <w:p w14:paraId="3853D33D" w14:textId="1DFAC699"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The dependence of people with intellectual disabilities on others for support as a consequence of cognitive impairment also heightens risk. </w:t>
      </w:r>
      <w:r w:rsidR="00F54A3F" w:rsidRPr="00E51FA9">
        <w:rPr>
          <w:rFonts w:asciiTheme="majorBidi" w:hAnsiTheme="majorBidi" w:cstheme="majorBidi"/>
          <w:sz w:val="24"/>
          <w:szCs w:val="24"/>
        </w:rPr>
        <w:t>For example, a number of researchers suggest that, in general, any limitation on one’s ability to undertake activities of daily living heightens the risk of abuse (Gilson et al.</w:t>
      </w:r>
      <w:r w:rsidR="00C11FEE">
        <w:rPr>
          <w:rFonts w:asciiTheme="majorBidi" w:hAnsiTheme="majorBidi" w:cstheme="majorBidi"/>
          <w:sz w:val="24"/>
          <w:szCs w:val="24"/>
        </w:rPr>
        <w:t>,</w:t>
      </w:r>
      <w:r w:rsidR="00F54A3F" w:rsidRPr="00E51FA9">
        <w:rPr>
          <w:rFonts w:asciiTheme="majorBidi" w:hAnsiTheme="majorBidi" w:cstheme="majorBidi"/>
          <w:sz w:val="24"/>
          <w:szCs w:val="24"/>
        </w:rPr>
        <w:t xml:space="preserve"> 2001; Swedlund &amp; Nosek, 2000; Thomas et al., 2008). Further risk factors are associated with living in residential care services (Nosek et al., 2006; Powers et al., 2009), social isolation (Beadle</w:t>
      </w:r>
      <w:r w:rsidR="00C11FEE">
        <w:rPr>
          <w:rFonts w:asciiTheme="majorBidi" w:hAnsiTheme="majorBidi" w:cstheme="majorBidi"/>
          <w:sz w:val="24"/>
          <w:szCs w:val="24"/>
        </w:rPr>
        <w:t>-</w:t>
      </w:r>
      <w:r w:rsidR="00F54A3F" w:rsidRPr="00E51FA9">
        <w:rPr>
          <w:rFonts w:asciiTheme="majorBidi" w:hAnsiTheme="majorBidi" w:cstheme="majorBidi"/>
          <w:sz w:val="24"/>
          <w:szCs w:val="24"/>
        </w:rPr>
        <w:t>Brown et al</w:t>
      </w:r>
      <w:r w:rsidR="00C11FEE">
        <w:rPr>
          <w:rFonts w:asciiTheme="majorBidi" w:hAnsiTheme="majorBidi" w:cstheme="majorBidi"/>
          <w:sz w:val="24"/>
          <w:szCs w:val="24"/>
        </w:rPr>
        <w:t>.</w:t>
      </w:r>
      <w:r w:rsidR="00F54A3F" w:rsidRPr="00E51FA9">
        <w:rPr>
          <w:rFonts w:asciiTheme="majorBidi" w:hAnsiTheme="majorBidi" w:cstheme="majorBidi"/>
          <w:sz w:val="24"/>
          <w:szCs w:val="24"/>
        </w:rPr>
        <w:t xml:space="preserve">, 2010) and contact with multiple potential perpetrators (Nosek et al., 2001). </w:t>
      </w:r>
    </w:p>
    <w:p w14:paraId="361A4C12" w14:textId="12F12B78" w:rsidR="00055655" w:rsidRPr="00C11FEE" w:rsidRDefault="00F54A3F" w:rsidP="00AB6044">
      <w:pPr>
        <w:spacing w:after="120" w:line="360" w:lineRule="auto"/>
        <w:rPr>
          <w:rFonts w:asciiTheme="majorBidi" w:hAnsiTheme="majorBidi" w:cstheme="majorBidi"/>
          <w:sz w:val="24"/>
          <w:szCs w:val="24"/>
        </w:rPr>
      </w:pPr>
      <w:bookmarkStart w:id="8" w:name="_Hlk494256649"/>
      <w:r w:rsidRPr="00E51FA9">
        <w:rPr>
          <w:rFonts w:asciiTheme="majorBidi" w:hAnsiTheme="majorBidi" w:cstheme="majorBidi"/>
          <w:sz w:val="24"/>
          <w:szCs w:val="24"/>
        </w:rPr>
        <w:t>Sobsey</w:t>
      </w:r>
      <w:bookmarkEnd w:id="8"/>
      <w:r w:rsidRPr="00E51FA9">
        <w:rPr>
          <w:rFonts w:asciiTheme="majorBidi" w:hAnsiTheme="majorBidi" w:cstheme="majorBidi"/>
          <w:sz w:val="24"/>
          <w:szCs w:val="24"/>
        </w:rPr>
        <w:t xml:space="preserve"> </w:t>
      </w:r>
      <w:r w:rsidR="00AB6044" w:rsidRPr="00E51FA9">
        <w:rPr>
          <w:rFonts w:asciiTheme="majorBidi" w:hAnsiTheme="majorBidi" w:cstheme="majorBidi"/>
          <w:sz w:val="24"/>
          <w:szCs w:val="24"/>
        </w:rPr>
        <w:t xml:space="preserve">(1996) argued that the key to understanding the victimisation of people with intellectual disability is their relative lack of power over their own lives. </w:t>
      </w:r>
      <w:r w:rsidR="00825562" w:rsidRPr="00E51FA9">
        <w:rPr>
          <w:rFonts w:asciiTheme="majorBidi" w:hAnsiTheme="majorBidi" w:cstheme="majorBidi"/>
          <w:sz w:val="24"/>
          <w:szCs w:val="24"/>
        </w:rPr>
        <w:t>Sobsey contended that</w:t>
      </w:r>
      <w:r w:rsidR="00C11FEE">
        <w:rPr>
          <w:rFonts w:asciiTheme="majorBidi" w:hAnsiTheme="majorBidi" w:cstheme="majorBidi"/>
          <w:sz w:val="24"/>
          <w:szCs w:val="24"/>
        </w:rPr>
        <w:t xml:space="preserve"> </w:t>
      </w:r>
      <w:r w:rsidR="00825562" w:rsidRPr="00E51FA9">
        <w:rPr>
          <w:rFonts w:asciiTheme="majorBidi" w:hAnsiTheme="majorBidi" w:cstheme="majorBidi"/>
          <w:sz w:val="24"/>
          <w:szCs w:val="24"/>
        </w:rPr>
        <w:t>peop</w:t>
      </w:r>
      <w:r w:rsidR="00C11FEE">
        <w:rPr>
          <w:rFonts w:asciiTheme="majorBidi" w:hAnsiTheme="majorBidi" w:cstheme="majorBidi"/>
          <w:sz w:val="24"/>
          <w:szCs w:val="24"/>
        </w:rPr>
        <w:t>le with intellectual disability</w:t>
      </w:r>
      <w:r w:rsidR="00AB6044" w:rsidRPr="00E51FA9">
        <w:rPr>
          <w:rFonts w:asciiTheme="majorBidi" w:hAnsiTheme="majorBidi" w:cstheme="majorBidi"/>
          <w:sz w:val="24"/>
          <w:szCs w:val="24"/>
        </w:rPr>
        <w:t xml:space="preserve"> seldom have opportunities or support to make decisions about the way they live their lives, and have to rely on others, over whom they have little or no control, to meet physical, psychological or economic needs. </w:t>
      </w:r>
      <w:r w:rsidR="00825562" w:rsidRPr="00E51FA9">
        <w:rPr>
          <w:rFonts w:asciiTheme="majorBidi" w:hAnsiTheme="majorBidi" w:cstheme="majorBidi"/>
          <w:sz w:val="24"/>
          <w:szCs w:val="24"/>
        </w:rPr>
        <w:t>Other scholars note that people with intellectual disability often</w:t>
      </w:r>
      <w:r w:rsidR="00AB6044" w:rsidRPr="00E51FA9">
        <w:rPr>
          <w:rFonts w:asciiTheme="majorBidi" w:hAnsiTheme="majorBidi" w:cstheme="majorBidi"/>
          <w:sz w:val="24"/>
          <w:szCs w:val="24"/>
        </w:rPr>
        <w:t xml:space="preserve"> lack credibility or “voice” if they do have the opportunity to complain or to express preferences </w:t>
      </w:r>
      <w:r w:rsidR="00AB6044" w:rsidRPr="00E51FA9">
        <w:rPr>
          <w:rFonts w:asciiTheme="majorBidi" w:hAnsiTheme="majorBidi" w:cstheme="majorBidi"/>
          <w:sz w:val="24"/>
          <w:szCs w:val="24"/>
        </w:rPr>
        <w:lastRenderedPageBreak/>
        <w:t xml:space="preserve">about the support they receive (Ticoll, 1994; Thomas et al., 2008). Furthermore, their experience of dependence on services may lead to “over compliance” (Mazzucchelli, 2001) or “learned helplessness” (Saxon et al., 2001). These researchers suggest that </w:t>
      </w:r>
      <w:r w:rsidR="00825562" w:rsidRPr="00E51FA9">
        <w:rPr>
          <w:rFonts w:asciiTheme="majorBidi" w:hAnsiTheme="majorBidi" w:cstheme="majorBidi"/>
          <w:sz w:val="24"/>
          <w:szCs w:val="24"/>
        </w:rPr>
        <w:t>people</w:t>
      </w:r>
      <w:r w:rsidR="00AB6044" w:rsidRPr="00E51FA9">
        <w:rPr>
          <w:rFonts w:asciiTheme="majorBidi" w:hAnsiTheme="majorBidi" w:cstheme="majorBidi"/>
          <w:sz w:val="24"/>
          <w:szCs w:val="24"/>
        </w:rPr>
        <w:t xml:space="preserve"> with intellectual disabilities in the care system often have a learning history, that reinforces compliance, which may be a further risk factor that means they comply with requests that result in abuse.</w:t>
      </w:r>
    </w:p>
    <w:p w14:paraId="3BFD2936" w14:textId="77777777" w:rsidR="00AB6044" w:rsidRPr="00E51FA9" w:rsidRDefault="00AB6044" w:rsidP="0019074D">
      <w:pPr>
        <w:spacing w:after="120" w:line="360" w:lineRule="auto"/>
        <w:outlineLvl w:val="0"/>
        <w:rPr>
          <w:rFonts w:asciiTheme="majorBidi" w:hAnsiTheme="majorBidi" w:cstheme="majorBidi"/>
          <w:b/>
          <w:bCs/>
          <w:i/>
          <w:sz w:val="24"/>
          <w:szCs w:val="24"/>
        </w:rPr>
      </w:pPr>
      <w:bookmarkStart w:id="9" w:name="_Hlk494342180"/>
      <w:r w:rsidRPr="00E51FA9">
        <w:rPr>
          <w:rFonts w:asciiTheme="majorBidi" w:hAnsiTheme="majorBidi" w:cstheme="majorBidi"/>
          <w:b/>
          <w:bCs/>
          <w:i/>
          <w:sz w:val="24"/>
          <w:szCs w:val="24"/>
        </w:rPr>
        <w:t>Perpetrators of abuse - risk factors</w:t>
      </w:r>
    </w:p>
    <w:bookmarkEnd w:id="9"/>
    <w:p w14:paraId="7A22D675" w14:textId="123B5B9F"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Scholars have explored the </w:t>
      </w:r>
      <w:r w:rsidR="0023667F" w:rsidRPr="00E51FA9">
        <w:rPr>
          <w:rFonts w:asciiTheme="majorBidi" w:hAnsiTheme="majorBidi" w:cstheme="majorBidi"/>
          <w:sz w:val="24"/>
          <w:szCs w:val="24"/>
        </w:rPr>
        <w:t>characteristics of perpetrators</w:t>
      </w:r>
      <w:r w:rsidR="0085690A" w:rsidRPr="00E51FA9">
        <w:rPr>
          <w:rFonts w:asciiTheme="majorBidi" w:hAnsiTheme="majorBidi" w:cstheme="majorBidi"/>
          <w:sz w:val="24"/>
          <w:szCs w:val="24"/>
        </w:rPr>
        <w:t>, and</w:t>
      </w:r>
      <w:r w:rsidRPr="00E51FA9">
        <w:rPr>
          <w:rFonts w:asciiTheme="majorBidi" w:hAnsiTheme="majorBidi" w:cstheme="majorBidi"/>
          <w:sz w:val="24"/>
          <w:szCs w:val="24"/>
        </w:rPr>
        <w:t xml:space="preserve"> suggest that at least some offenders fi</w:t>
      </w:r>
      <w:r w:rsidR="003B2D93" w:rsidRPr="00E51FA9">
        <w:rPr>
          <w:rFonts w:asciiTheme="majorBidi" w:hAnsiTheme="majorBidi" w:cstheme="majorBidi"/>
          <w:sz w:val="24"/>
          <w:szCs w:val="24"/>
        </w:rPr>
        <w:t>t specific profiles (S</w:t>
      </w:r>
      <w:r w:rsidR="00BB458B">
        <w:rPr>
          <w:rFonts w:asciiTheme="majorBidi" w:hAnsiTheme="majorBidi" w:cstheme="majorBidi"/>
          <w:sz w:val="24"/>
          <w:szCs w:val="24"/>
        </w:rPr>
        <w:t>o</w:t>
      </w:r>
      <w:r w:rsidR="003B2D93" w:rsidRPr="00E51FA9">
        <w:rPr>
          <w:rFonts w:asciiTheme="majorBidi" w:hAnsiTheme="majorBidi" w:cstheme="majorBidi"/>
          <w:sz w:val="24"/>
          <w:szCs w:val="24"/>
        </w:rPr>
        <w:t>b</w:t>
      </w:r>
      <w:r w:rsidR="00BB458B">
        <w:rPr>
          <w:rFonts w:asciiTheme="majorBidi" w:hAnsiTheme="majorBidi" w:cstheme="majorBidi"/>
          <w:sz w:val="24"/>
          <w:szCs w:val="24"/>
        </w:rPr>
        <w:t>s</w:t>
      </w:r>
      <w:r w:rsidR="004F30C8">
        <w:rPr>
          <w:rFonts w:asciiTheme="majorBidi" w:hAnsiTheme="majorBidi" w:cstheme="majorBidi"/>
          <w:sz w:val="24"/>
          <w:szCs w:val="24"/>
        </w:rPr>
        <w:t>e</w:t>
      </w:r>
      <w:r w:rsidR="003B2D93" w:rsidRPr="00E51FA9">
        <w:rPr>
          <w:rFonts w:asciiTheme="majorBidi" w:hAnsiTheme="majorBidi" w:cstheme="majorBidi"/>
          <w:sz w:val="24"/>
          <w:szCs w:val="24"/>
        </w:rPr>
        <w:t>y, 1994</w:t>
      </w:r>
      <w:r w:rsidRPr="00E51FA9">
        <w:rPr>
          <w:rFonts w:asciiTheme="majorBidi" w:hAnsiTheme="majorBidi" w:cstheme="majorBidi"/>
          <w:sz w:val="24"/>
          <w:szCs w:val="24"/>
        </w:rPr>
        <w:t>). Multiple studies (</w:t>
      </w:r>
      <w:r w:rsidR="00BB458B" w:rsidRPr="00E51FA9">
        <w:rPr>
          <w:rFonts w:asciiTheme="majorBidi" w:hAnsiTheme="majorBidi" w:cstheme="majorBidi"/>
          <w:sz w:val="24"/>
          <w:szCs w:val="24"/>
        </w:rPr>
        <w:t>McCarthy, 1998</w:t>
      </w:r>
      <w:r w:rsidR="00BB458B">
        <w:rPr>
          <w:rFonts w:asciiTheme="majorBidi" w:hAnsiTheme="majorBidi" w:cstheme="majorBidi"/>
          <w:sz w:val="24"/>
          <w:szCs w:val="24"/>
        </w:rPr>
        <w:t xml:space="preserve">; </w:t>
      </w:r>
      <w:r w:rsidRPr="00E51FA9">
        <w:rPr>
          <w:rFonts w:asciiTheme="majorBidi" w:hAnsiTheme="majorBidi" w:cstheme="majorBidi"/>
          <w:sz w:val="24"/>
          <w:szCs w:val="24"/>
        </w:rPr>
        <w:t>Turk &amp; Brown, 1993) identify gender as a risk factor. For example, in their research on referrals to adult protection serv</w:t>
      </w:r>
      <w:r w:rsidR="00153241" w:rsidRPr="00E51FA9">
        <w:rPr>
          <w:rFonts w:asciiTheme="majorBidi" w:hAnsiTheme="majorBidi" w:cstheme="majorBidi"/>
          <w:sz w:val="24"/>
          <w:szCs w:val="24"/>
        </w:rPr>
        <w:t xml:space="preserve">ices in the UK, Cambridge et al. </w:t>
      </w:r>
      <w:r w:rsidR="00143C95" w:rsidRPr="00E51FA9">
        <w:rPr>
          <w:rFonts w:asciiTheme="majorBidi" w:hAnsiTheme="majorBidi" w:cstheme="majorBidi"/>
          <w:sz w:val="24"/>
          <w:szCs w:val="24"/>
        </w:rPr>
        <w:t>(</w:t>
      </w:r>
      <w:r w:rsidR="003B2D93" w:rsidRPr="00E51FA9">
        <w:rPr>
          <w:rFonts w:asciiTheme="majorBidi" w:hAnsiTheme="majorBidi" w:cstheme="majorBidi"/>
          <w:sz w:val="24"/>
          <w:szCs w:val="24"/>
        </w:rPr>
        <w:t>2011</w:t>
      </w:r>
      <w:r w:rsidRPr="00E51FA9">
        <w:rPr>
          <w:rFonts w:asciiTheme="majorBidi" w:hAnsiTheme="majorBidi" w:cstheme="majorBidi"/>
          <w:sz w:val="24"/>
          <w:szCs w:val="24"/>
        </w:rPr>
        <w:t>) examined the characteristics of confirmed and alleged perpetrators. They noted that in 93.5% of sexual abuse referrals, the alleged perpetrator was “a man or involved a man”</w:t>
      </w:r>
      <w:r w:rsidR="006A5E5E">
        <w:rPr>
          <w:rFonts w:asciiTheme="majorBidi" w:hAnsiTheme="majorBidi" w:cstheme="majorBidi"/>
          <w:sz w:val="24"/>
          <w:szCs w:val="24"/>
        </w:rPr>
        <w:t xml:space="preserve"> (p. 5)</w:t>
      </w:r>
      <w:r w:rsidRPr="00E51FA9">
        <w:rPr>
          <w:rFonts w:asciiTheme="majorBidi" w:hAnsiTheme="majorBidi" w:cstheme="majorBidi"/>
          <w:sz w:val="24"/>
          <w:szCs w:val="24"/>
        </w:rPr>
        <w:t>.</w:t>
      </w:r>
      <w:r w:rsidR="00C11FEE">
        <w:rPr>
          <w:rFonts w:asciiTheme="majorBidi" w:hAnsiTheme="majorBidi" w:cstheme="majorBidi"/>
          <w:sz w:val="24"/>
          <w:szCs w:val="24"/>
        </w:rPr>
        <w:t xml:space="preserve"> Cambridge et al.</w:t>
      </w:r>
      <w:r w:rsidR="00143C95" w:rsidRPr="00E51FA9">
        <w:rPr>
          <w:rFonts w:asciiTheme="majorBidi" w:hAnsiTheme="majorBidi" w:cstheme="majorBidi"/>
          <w:sz w:val="24"/>
          <w:szCs w:val="24"/>
        </w:rPr>
        <w:t xml:space="preserve"> </w:t>
      </w:r>
      <w:r w:rsidR="003B2D93" w:rsidRPr="00E51FA9">
        <w:rPr>
          <w:rFonts w:asciiTheme="majorBidi" w:hAnsiTheme="majorBidi" w:cstheme="majorBidi"/>
          <w:sz w:val="24"/>
          <w:szCs w:val="24"/>
        </w:rPr>
        <w:t>(2011</w:t>
      </w:r>
      <w:r w:rsidRPr="00E51FA9">
        <w:rPr>
          <w:rFonts w:asciiTheme="majorBidi" w:hAnsiTheme="majorBidi" w:cstheme="majorBidi"/>
          <w:sz w:val="24"/>
          <w:szCs w:val="24"/>
        </w:rPr>
        <w:t xml:space="preserve">) also found that in 46% of the referrals for alleged abuse against individuals with intellectual disability the perpetrator was a staff member or manager involved in the care of the person with the disabilities. Findings regarding the age of perpetrators in services have been somewhat mixed, though more studies suggest that younger staff are more likely to be abusive than older staff. Conversely, McCartney </w:t>
      </w:r>
      <w:r w:rsidR="007567D8">
        <w:rPr>
          <w:rFonts w:asciiTheme="majorBidi" w:hAnsiTheme="majorBidi" w:cstheme="majorBidi"/>
          <w:sz w:val="24"/>
          <w:szCs w:val="24"/>
        </w:rPr>
        <w:t>and Campbell</w:t>
      </w:r>
      <w:r w:rsidRPr="00E51FA9">
        <w:rPr>
          <w:rFonts w:asciiTheme="majorBidi" w:hAnsiTheme="majorBidi" w:cstheme="majorBidi"/>
          <w:sz w:val="24"/>
          <w:szCs w:val="24"/>
        </w:rPr>
        <w:t xml:space="preserve"> (1998) found that staff in residential care who </w:t>
      </w:r>
      <w:r w:rsidR="00861FCE" w:rsidRPr="00E51FA9">
        <w:rPr>
          <w:rFonts w:asciiTheme="majorBidi" w:hAnsiTheme="majorBidi" w:cstheme="majorBidi"/>
          <w:sz w:val="24"/>
          <w:szCs w:val="24"/>
        </w:rPr>
        <w:t>had committed</w:t>
      </w:r>
      <w:r w:rsidRPr="00E51FA9">
        <w:rPr>
          <w:rFonts w:asciiTheme="majorBidi" w:hAnsiTheme="majorBidi" w:cstheme="majorBidi"/>
          <w:sz w:val="24"/>
          <w:szCs w:val="24"/>
        </w:rPr>
        <w:t xml:space="preserve"> abuse were significantly older than their peers. Strand et al. (2004) found that most perpetrators were either under thirty (41%) or over forty (38%) years of age.</w:t>
      </w:r>
    </w:p>
    <w:p w14:paraId="33CF9622" w14:textId="18D18D6F" w:rsidR="003B2D93"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Not surprisingly, having a history as a perpetrator is associated with further incidents of abusing clients. For example, McCartney </w:t>
      </w:r>
      <w:r w:rsidR="007567D8">
        <w:rPr>
          <w:rFonts w:asciiTheme="majorBidi" w:hAnsiTheme="majorBidi" w:cstheme="majorBidi"/>
          <w:sz w:val="24"/>
          <w:szCs w:val="24"/>
        </w:rPr>
        <w:t>and Campbell</w:t>
      </w:r>
      <w:r w:rsidR="007567D8" w:rsidRPr="00E51FA9">
        <w:rPr>
          <w:rFonts w:asciiTheme="majorBidi" w:hAnsiTheme="majorBidi" w:cstheme="majorBidi"/>
          <w:sz w:val="24"/>
          <w:szCs w:val="24"/>
        </w:rPr>
        <w:t xml:space="preserve"> </w:t>
      </w:r>
      <w:r w:rsidRPr="00E51FA9">
        <w:rPr>
          <w:rFonts w:asciiTheme="majorBidi" w:hAnsiTheme="majorBidi" w:cstheme="majorBidi"/>
          <w:sz w:val="24"/>
          <w:szCs w:val="24"/>
        </w:rPr>
        <w:t xml:space="preserve">(1998) reported that among staff found to have abused clients, 21.5% had done so on another occasion in the previous year, compared with only 6% of the randomly selected carer group. Other scholars, have identified particular personality traits as being associated </w:t>
      </w:r>
      <w:r w:rsidR="000F2EDC" w:rsidRPr="00E51FA9">
        <w:rPr>
          <w:rFonts w:asciiTheme="majorBidi" w:hAnsiTheme="majorBidi" w:cstheme="majorBidi"/>
          <w:sz w:val="24"/>
          <w:szCs w:val="24"/>
        </w:rPr>
        <w:t xml:space="preserve">with </w:t>
      </w:r>
      <w:r w:rsidRPr="00E51FA9">
        <w:rPr>
          <w:rFonts w:asciiTheme="majorBidi" w:hAnsiTheme="majorBidi" w:cstheme="majorBidi"/>
          <w:sz w:val="24"/>
          <w:szCs w:val="24"/>
        </w:rPr>
        <w:t>perpetrators of abuse, although not especially among abusers of people with disabilities. Hulme and Middleton (2013) found, for example, that more than 60% of sex offenders “demonstrated an external locus of control” - that is, they did not perceive themselves as having complete control over their emotions and behaviour. This study also found that 87% of sex offenders had experienced “moderate to severe” trauma including high rates of sexual, physical and emotional trauma as a child. Finally, scholars have established higher prevalence of certain personality disorders among perpetrators of abuse, including psychopathy, narcissism and sociopathy (Meloy, 2002</w:t>
      </w:r>
      <w:r w:rsidR="00C970A2">
        <w:rPr>
          <w:rFonts w:asciiTheme="majorBidi" w:hAnsiTheme="majorBidi" w:cstheme="majorBidi"/>
          <w:sz w:val="24"/>
          <w:szCs w:val="24"/>
        </w:rPr>
        <w:t>a</w:t>
      </w:r>
      <w:r w:rsidRPr="00E51FA9">
        <w:rPr>
          <w:rFonts w:asciiTheme="majorBidi" w:hAnsiTheme="majorBidi" w:cstheme="majorBidi"/>
          <w:sz w:val="24"/>
          <w:szCs w:val="24"/>
        </w:rPr>
        <w:t>;</w:t>
      </w:r>
      <w:r w:rsidR="00C970A2">
        <w:rPr>
          <w:rFonts w:asciiTheme="majorBidi" w:hAnsiTheme="majorBidi" w:cstheme="majorBidi"/>
          <w:sz w:val="24"/>
          <w:szCs w:val="24"/>
        </w:rPr>
        <w:t xml:space="preserve"> 2002b;</w:t>
      </w:r>
      <w:r w:rsidRPr="00E51FA9">
        <w:rPr>
          <w:rFonts w:asciiTheme="majorBidi" w:hAnsiTheme="majorBidi" w:cstheme="majorBidi"/>
          <w:sz w:val="24"/>
          <w:szCs w:val="24"/>
        </w:rPr>
        <w:t xml:space="preserve"> Mouilso &amp; Calhoun, 2016). For example, Meloy (2002</w:t>
      </w:r>
      <w:r w:rsidR="00C970A2">
        <w:rPr>
          <w:rFonts w:asciiTheme="majorBidi" w:hAnsiTheme="majorBidi" w:cstheme="majorBidi"/>
          <w:sz w:val="24"/>
          <w:szCs w:val="24"/>
        </w:rPr>
        <w:t>a</w:t>
      </w:r>
      <w:r w:rsidRPr="00E51FA9">
        <w:rPr>
          <w:rFonts w:asciiTheme="majorBidi" w:hAnsiTheme="majorBidi" w:cstheme="majorBidi"/>
          <w:sz w:val="24"/>
          <w:szCs w:val="24"/>
        </w:rPr>
        <w:t>) found a predictive relationship between people convicted of sexual assault and psychopathy. These findings suggest the relevance of psychometrically testing for these traits as part of staff recruitment processes.</w:t>
      </w:r>
    </w:p>
    <w:p w14:paraId="4140C81C" w14:textId="0DA7BA4A" w:rsidR="00AB6044" w:rsidRPr="00E51FA9" w:rsidRDefault="00AB6044" w:rsidP="0019074D">
      <w:pPr>
        <w:spacing w:after="120" w:line="360" w:lineRule="auto"/>
        <w:outlineLvl w:val="0"/>
        <w:rPr>
          <w:rFonts w:asciiTheme="majorBidi" w:hAnsiTheme="majorBidi" w:cstheme="majorBidi"/>
          <w:b/>
          <w:bCs/>
          <w:i/>
          <w:sz w:val="24"/>
          <w:szCs w:val="24"/>
        </w:rPr>
      </w:pPr>
      <w:bookmarkStart w:id="10" w:name="_Hlk494342205"/>
      <w:r w:rsidRPr="00E51FA9">
        <w:rPr>
          <w:rFonts w:asciiTheme="majorBidi" w:hAnsiTheme="majorBidi" w:cstheme="majorBidi"/>
          <w:b/>
          <w:bCs/>
          <w:i/>
          <w:sz w:val="24"/>
          <w:szCs w:val="24"/>
        </w:rPr>
        <w:lastRenderedPageBreak/>
        <w:t xml:space="preserve">Organisational environments </w:t>
      </w:r>
      <w:r w:rsidR="00C11FEE">
        <w:rPr>
          <w:rFonts w:asciiTheme="majorBidi" w:hAnsiTheme="majorBidi" w:cstheme="majorBidi"/>
          <w:b/>
          <w:bCs/>
          <w:i/>
          <w:sz w:val="24"/>
          <w:szCs w:val="24"/>
        </w:rPr>
        <w:t xml:space="preserve">- </w:t>
      </w:r>
      <w:r w:rsidRPr="00E51FA9">
        <w:rPr>
          <w:rFonts w:asciiTheme="majorBidi" w:hAnsiTheme="majorBidi" w:cstheme="majorBidi"/>
          <w:b/>
          <w:bCs/>
          <w:i/>
          <w:sz w:val="24"/>
          <w:szCs w:val="24"/>
        </w:rPr>
        <w:t>risk or protective factors</w:t>
      </w:r>
    </w:p>
    <w:bookmarkEnd w:id="10"/>
    <w:p w14:paraId="6D49B030" w14:textId="77777777"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Abuse of people with disability who live in residential services occurs in a particular cultural and environmental context (Robinson, 2013). Research over many years, on the quality of supported accommodation services, and reviews of major inquiries into situations of institutional abuse has identified a bewildering array of interacting variables associated with abuse in care service (Bigby et al., 2015; Felce et al., 2002; Hastings et al., 1995; Mansell et al., 1994). </w:t>
      </w:r>
    </w:p>
    <w:p w14:paraId="3EF90F5C" w14:textId="37628103"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Organisational culture is commonly identified as a key concept for thinking about the way that multiple variables situated across different organisational levels interact and influence service quality and thus service users’ quality-of-life (Bigby et al., 201</w:t>
      </w:r>
      <w:r w:rsidR="00F96C07">
        <w:rPr>
          <w:rFonts w:asciiTheme="majorBidi" w:hAnsiTheme="majorBidi" w:cstheme="majorBidi"/>
          <w:sz w:val="24"/>
          <w:szCs w:val="24"/>
        </w:rPr>
        <w:t>6a;</w:t>
      </w:r>
      <w:r w:rsidRPr="00E51FA9">
        <w:rPr>
          <w:rFonts w:asciiTheme="majorBidi" w:hAnsiTheme="majorBidi" w:cstheme="majorBidi"/>
          <w:sz w:val="24"/>
          <w:szCs w:val="24"/>
        </w:rPr>
        <w:t xml:space="preserve"> Felce et al.,</w:t>
      </w:r>
      <w:r w:rsidR="00F96C07">
        <w:rPr>
          <w:rFonts w:asciiTheme="majorBidi" w:hAnsiTheme="majorBidi" w:cstheme="majorBidi"/>
          <w:sz w:val="24"/>
          <w:szCs w:val="24"/>
        </w:rPr>
        <w:t xml:space="preserve"> </w:t>
      </w:r>
      <w:r w:rsidRPr="00E51FA9">
        <w:rPr>
          <w:rFonts w:asciiTheme="majorBidi" w:hAnsiTheme="majorBidi" w:cstheme="majorBidi"/>
          <w:sz w:val="24"/>
          <w:szCs w:val="24"/>
        </w:rPr>
        <w:t xml:space="preserve">2002; Hastings et al., 1995; Mansell et al., 1994). A qualitative exploration of services where abuse was known to have occurred </w:t>
      </w:r>
      <w:r w:rsidR="001D209E" w:rsidRPr="00E51FA9">
        <w:rPr>
          <w:rFonts w:asciiTheme="majorBidi" w:hAnsiTheme="majorBidi" w:cstheme="majorBidi"/>
          <w:sz w:val="24"/>
          <w:szCs w:val="24"/>
        </w:rPr>
        <w:t xml:space="preserve">identified </w:t>
      </w:r>
      <w:r w:rsidRPr="00E51FA9">
        <w:rPr>
          <w:rFonts w:asciiTheme="majorBidi" w:hAnsiTheme="majorBidi" w:cstheme="majorBidi"/>
          <w:sz w:val="24"/>
          <w:szCs w:val="24"/>
        </w:rPr>
        <w:t>associated cultural indicators, including the skills and attitudes of managers, skills, attitudes and values of care staff, service design and material quality of accommodation (White et al., 2003; Marsland et al., 2007). These findings reflect earlier research that consistently links management practice, and particularly managerial indifference, to services where abuse and neglect occurs (Cambridge, 1998 Sobsey,</w:t>
      </w:r>
      <w:r w:rsidR="00F96C07">
        <w:rPr>
          <w:rFonts w:asciiTheme="majorBidi" w:hAnsiTheme="majorBidi" w:cstheme="majorBidi"/>
          <w:sz w:val="24"/>
          <w:szCs w:val="24"/>
        </w:rPr>
        <w:t xml:space="preserve"> </w:t>
      </w:r>
      <w:r w:rsidRPr="00E51FA9">
        <w:rPr>
          <w:rFonts w:asciiTheme="majorBidi" w:hAnsiTheme="majorBidi" w:cstheme="majorBidi"/>
          <w:sz w:val="24"/>
          <w:szCs w:val="24"/>
        </w:rPr>
        <w:t>1994</w:t>
      </w:r>
      <w:r w:rsidR="001F55AC" w:rsidRPr="00E51FA9">
        <w:rPr>
          <w:rFonts w:asciiTheme="majorBidi" w:hAnsiTheme="majorBidi" w:cstheme="majorBidi"/>
          <w:sz w:val="24"/>
          <w:szCs w:val="24"/>
        </w:rPr>
        <w:t>; Sundram, 198</w:t>
      </w:r>
      <w:r w:rsidR="00090E9B">
        <w:rPr>
          <w:rFonts w:asciiTheme="majorBidi" w:hAnsiTheme="majorBidi" w:cstheme="majorBidi"/>
          <w:sz w:val="24"/>
          <w:szCs w:val="24"/>
        </w:rPr>
        <w:t>5</w:t>
      </w:r>
      <w:r w:rsidR="0039445C">
        <w:rPr>
          <w:rFonts w:asciiTheme="majorBidi" w:hAnsiTheme="majorBidi" w:cstheme="majorBidi"/>
          <w:sz w:val="24"/>
          <w:szCs w:val="24"/>
        </w:rPr>
        <w:t>)</w:t>
      </w:r>
      <w:r w:rsidRPr="00E51FA9">
        <w:rPr>
          <w:rFonts w:asciiTheme="majorBidi" w:hAnsiTheme="majorBidi" w:cstheme="majorBidi"/>
          <w:sz w:val="24"/>
          <w:szCs w:val="24"/>
        </w:rPr>
        <w:t xml:space="preserve">. For example, Cambridge (1998) observed that managers in residential services where abuse had occurred were uninvolved and distant from direct care staff and the day-to-day routines. More recently, in respect of care services in general, Rees </w:t>
      </w:r>
      <w:r w:rsidR="00097C9B" w:rsidRPr="00E51FA9">
        <w:rPr>
          <w:rFonts w:asciiTheme="majorBidi" w:hAnsiTheme="majorBidi" w:cstheme="majorBidi"/>
          <w:sz w:val="24"/>
          <w:szCs w:val="24"/>
        </w:rPr>
        <w:t>et al</w:t>
      </w:r>
      <w:r w:rsidR="00F96C07">
        <w:rPr>
          <w:rFonts w:asciiTheme="majorBidi" w:hAnsiTheme="majorBidi" w:cstheme="majorBidi"/>
          <w:sz w:val="24"/>
          <w:szCs w:val="24"/>
        </w:rPr>
        <w:t>.</w:t>
      </w:r>
      <w:r w:rsidR="00097C9B" w:rsidRPr="00E51FA9">
        <w:rPr>
          <w:rFonts w:asciiTheme="majorBidi" w:hAnsiTheme="majorBidi" w:cstheme="majorBidi"/>
          <w:sz w:val="24"/>
          <w:szCs w:val="24"/>
        </w:rPr>
        <w:t xml:space="preserve"> </w:t>
      </w:r>
      <w:r w:rsidRPr="00E51FA9">
        <w:rPr>
          <w:rFonts w:asciiTheme="majorBidi" w:hAnsiTheme="majorBidi" w:cstheme="majorBidi"/>
          <w:sz w:val="24"/>
          <w:szCs w:val="24"/>
        </w:rPr>
        <w:t xml:space="preserve"> (2010) </w:t>
      </w:r>
      <w:r w:rsidR="00F54A3F" w:rsidRPr="00E51FA9">
        <w:rPr>
          <w:rFonts w:asciiTheme="majorBidi" w:hAnsiTheme="majorBidi" w:cstheme="majorBidi"/>
          <w:sz w:val="24"/>
          <w:szCs w:val="24"/>
        </w:rPr>
        <w:t>suggested that</w:t>
      </w:r>
      <w:r w:rsidRPr="00E51FA9">
        <w:rPr>
          <w:rFonts w:asciiTheme="majorBidi" w:hAnsiTheme="majorBidi" w:cstheme="majorBidi"/>
          <w:sz w:val="24"/>
          <w:szCs w:val="24"/>
        </w:rPr>
        <w:t xml:space="preserve"> low interaction between frontline staff and management is associated with insufficient professional support and supervision, and may promote an abusive environment. </w:t>
      </w:r>
    </w:p>
    <w:p w14:paraId="73CF01E1" w14:textId="7279B148"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Related to aspects of culture, research has also identified an association between organisational procedures, values and care philosophies and abuse in care settings. Cambridge (1998) for example showed that services where abuse had occurred were characterised by staff working in isolation away from scrutiny, an absence of constructive teamwork and resistance of input and involvement of outside professionals. Additional indicators of culture</w:t>
      </w:r>
      <w:r w:rsidR="00F96C07">
        <w:rPr>
          <w:rFonts w:asciiTheme="majorBidi" w:hAnsiTheme="majorBidi" w:cstheme="majorBidi"/>
          <w:sz w:val="24"/>
          <w:szCs w:val="24"/>
        </w:rPr>
        <w:t>s</w:t>
      </w:r>
      <w:r w:rsidRPr="00E51FA9">
        <w:rPr>
          <w:rFonts w:asciiTheme="majorBidi" w:hAnsiTheme="majorBidi" w:cstheme="majorBidi"/>
          <w:sz w:val="24"/>
          <w:szCs w:val="24"/>
        </w:rPr>
        <w:t xml:space="preserve"> where abuse occurs </w:t>
      </w:r>
      <w:r w:rsidR="00F96C07">
        <w:rPr>
          <w:rFonts w:asciiTheme="majorBidi" w:hAnsiTheme="majorBidi" w:cstheme="majorBidi"/>
          <w:sz w:val="24"/>
          <w:szCs w:val="24"/>
        </w:rPr>
        <w:t xml:space="preserve">have been identified as </w:t>
      </w:r>
      <w:r w:rsidR="001531CC">
        <w:rPr>
          <w:rFonts w:asciiTheme="majorBidi" w:hAnsiTheme="majorBidi" w:cstheme="majorBidi"/>
          <w:sz w:val="24"/>
          <w:szCs w:val="24"/>
        </w:rPr>
        <w:t>the</w:t>
      </w:r>
      <w:r w:rsidR="00F96C07">
        <w:rPr>
          <w:rFonts w:asciiTheme="majorBidi" w:hAnsiTheme="majorBidi" w:cstheme="majorBidi"/>
          <w:sz w:val="24"/>
          <w:szCs w:val="24"/>
        </w:rPr>
        <w:t xml:space="preserve"> </w:t>
      </w:r>
      <w:r w:rsidRPr="00E51FA9">
        <w:rPr>
          <w:rFonts w:asciiTheme="majorBidi" w:hAnsiTheme="majorBidi" w:cstheme="majorBidi"/>
          <w:sz w:val="24"/>
          <w:szCs w:val="24"/>
        </w:rPr>
        <w:t>lack of a strong philosophy of care (Moore, 2001) and lack of a valuing relationship between care staff and individuals with intellectual disabilities (Gray-Stanley &amp; Muramatsu, 2011; Moore, 2001).</w:t>
      </w:r>
    </w:p>
    <w:p w14:paraId="6708FC5E" w14:textId="3B7FB762"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Research has consistently found that staff in care service who have been abusive often lack training and experience in these services (</w:t>
      </w:r>
      <w:r w:rsidR="00B112AD" w:rsidRPr="00E51FA9">
        <w:rPr>
          <w:rFonts w:asciiTheme="majorBidi" w:hAnsiTheme="majorBidi" w:cstheme="majorBidi"/>
          <w:sz w:val="24"/>
          <w:szCs w:val="24"/>
        </w:rPr>
        <w:t>Cambridge, 1998</w:t>
      </w:r>
      <w:r w:rsidRPr="00E51FA9">
        <w:rPr>
          <w:rFonts w:asciiTheme="majorBidi" w:hAnsiTheme="majorBidi" w:cstheme="majorBidi"/>
          <w:sz w:val="24"/>
          <w:szCs w:val="24"/>
        </w:rPr>
        <w:t>). For example, Cambridge (199</w:t>
      </w:r>
      <w:r w:rsidR="00090E9B">
        <w:rPr>
          <w:rFonts w:asciiTheme="majorBidi" w:hAnsiTheme="majorBidi" w:cstheme="majorBidi"/>
          <w:sz w:val="24"/>
          <w:szCs w:val="24"/>
        </w:rPr>
        <w:t>8</w:t>
      </w:r>
      <w:r w:rsidRPr="00E51FA9">
        <w:rPr>
          <w:rFonts w:asciiTheme="majorBidi" w:hAnsiTheme="majorBidi" w:cstheme="majorBidi"/>
          <w:sz w:val="24"/>
          <w:szCs w:val="24"/>
        </w:rPr>
        <w:t xml:space="preserve">) reported that </w:t>
      </w:r>
      <w:r w:rsidR="00237713" w:rsidRPr="00E51FA9">
        <w:rPr>
          <w:rFonts w:asciiTheme="majorBidi" w:hAnsiTheme="majorBidi" w:cstheme="majorBidi"/>
          <w:sz w:val="24"/>
          <w:szCs w:val="24"/>
        </w:rPr>
        <w:t xml:space="preserve">staff who had abused </w:t>
      </w:r>
      <w:r w:rsidRPr="00E51FA9">
        <w:rPr>
          <w:rFonts w:asciiTheme="majorBidi" w:hAnsiTheme="majorBidi" w:cstheme="majorBidi"/>
          <w:sz w:val="24"/>
          <w:szCs w:val="24"/>
        </w:rPr>
        <w:t xml:space="preserve">lacked qualifications, professional skills and had low levels of competence and experience in performing essential care tasks. Wang (2005) found that abusive behaviour was significantly correlated with caregiver professional status, educational level/training and burden. </w:t>
      </w:r>
      <w:r w:rsidRPr="00E51FA9">
        <w:rPr>
          <w:rFonts w:asciiTheme="majorBidi" w:hAnsiTheme="majorBidi" w:cstheme="majorBidi"/>
          <w:sz w:val="24"/>
          <w:szCs w:val="24"/>
        </w:rPr>
        <w:lastRenderedPageBreak/>
        <w:t xml:space="preserve">Specifically, those who were younger, less well educated, lacking specific training and who perceived themselves as being more burdened, displayed a tendency toward more abusive behaviour. </w:t>
      </w:r>
    </w:p>
    <w:p w14:paraId="5EC68B7F" w14:textId="4C65B115"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As the foregoing sections suggests, abuse is more likely to occur in what might be considered poor quality services. While research has not specifically looked at abuse in better quality services, </w:t>
      </w:r>
      <w:r w:rsidR="00826FD1" w:rsidRPr="00E51FA9">
        <w:rPr>
          <w:rFonts w:asciiTheme="majorBidi" w:hAnsiTheme="majorBidi" w:cstheme="majorBidi"/>
          <w:sz w:val="24"/>
          <w:szCs w:val="24"/>
        </w:rPr>
        <w:t>there is</w:t>
      </w:r>
      <w:r w:rsidRPr="00E51FA9">
        <w:rPr>
          <w:rFonts w:asciiTheme="majorBidi" w:hAnsiTheme="majorBidi" w:cstheme="majorBidi"/>
          <w:sz w:val="24"/>
          <w:szCs w:val="24"/>
        </w:rPr>
        <w:t xml:space="preserve"> a significant body of research about the factors associated with such services</w:t>
      </w:r>
      <w:r w:rsidR="00F96C07">
        <w:rPr>
          <w:rFonts w:asciiTheme="majorBidi" w:hAnsiTheme="majorBidi" w:cstheme="majorBidi"/>
          <w:sz w:val="24"/>
          <w:szCs w:val="24"/>
        </w:rPr>
        <w:t>,</w:t>
      </w:r>
      <w:r w:rsidRPr="00E51FA9">
        <w:rPr>
          <w:rFonts w:asciiTheme="majorBidi" w:hAnsiTheme="majorBidi" w:cstheme="majorBidi"/>
          <w:sz w:val="24"/>
          <w:szCs w:val="24"/>
        </w:rPr>
        <w:t xml:space="preserve"> where people with intellectual disability have good quality of life outcomes. </w:t>
      </w:r>
      <w:r w:rsidR="00F54A3F" w:rsidRPr="00E51FA9">
        <w:rPr>
          <w:rFonts w:asciiTheme="majorBidi" w:hAnsiTheme="majorBidi" w:cstheme="majorBidi"/>
          <w:sz w:val="24"/>
          <w:szCs w:val="24"/>
        </w:rPr>
        <w:t xml:space="preserve">Safety, emotional and physical wellbeing, are key domains of quality of life, the antithesis of abuse (Shalock et al., 2002). </w:t>
      </w:r>
      <w:r w:rsidRPr="00E51FA9">
        <w:rPr>
          <w:rFonts w:asciiTheme="majorBidi" w:hAnsiTheme="majorBidi" w:cstheme="majorBidi"/>
          <w:sz w:val="24"/>
          <w:szCs w:val="24"/>
        </w:rPr>
        <w:t xml:space="preserve">It is perhaps worth considering the organisational and cultural factors associated with the flip side of risk, that is better quality services that lead to quality of life outcomes for service users. A rigorous body of research demonstrates that when staff use the evidence based practice ‘Active Support’, service users have better quality of life outcomes (Bigby &amp; Beadle-Brown, 2016a; Mansell &amp; Beadle-Brown, 2012). Unsurprisingly, embedded in the practice of Active Support is an emphasis on staff supporting service user choice and control, engagement, communication and warm and respectful relationships. There is also growing evidence about the importance of frontline managers to the quality of staff practice, and the association between Active Support and elements of practice leadership such as, supervision, modelling, team meetings and planning the use of staff shift planning (Beadle-Brown et al., 2015; Bould et al., 2016; Clement &amp; Bigby, 2012). </w:t>
      </w:r>
    </w:p>
    <w:p w14:paraId="01E26FD1" w14:textId="1D1E9B67"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Related to the research on Active Support but adopting a different lens, Australian research has identified five dimensions of culture as common to all supported accommodation services using rigorous observational methods. Summarised in Figure </w:t>
      </w:r>
      <w:r w:rsidR="00F96C07">
        <w:rPr>
          <w:rFonts w:asciiTheme="majorBidi" w:hAnsiTheme="majorBidi" w:cstheme="majorBidi"/>
          <w:sz w:val="24"/>
          <w:szCs w:val="24"/>
        </w:rPr>
        <w:t>2</w:t>
      </w:r>
      <w:r w:rsidRPr="00E51FA9">
        <w:rPr>
          <w:rFonts w:asciiTheme="majorBidi" w:hAnsiTheme="majorBidi" w:cstheme="majorBidi"/>
          <w:sz w:val="24"/>
          <w:szCs w:val="24"/>
        </w:rPr>
        <w:t xml:space="preserve"> this work describes the positive and negative end of each of the dimensions, which are in turn associated with poor and better quality services (Bigby et al, 2014; Bigby et al., 2012; Bigby et al., 2015; Bigby &amp; Beadle-Brown, 2016</w:t>
      </w:r>
      <w:r w:rsidR="00C24D85" w:rsidRPr="00E51FA9">
        <w:rPr>
          <w:rFonts w:asciiTheme="majorBidi" w:hAnsiTheme="majorBidi" w:cstheme="majorBidi"/>
          <w:sz w:val="24"/>
          <w:szCs w:val="24"/>
        </w:rPr>
        <w:t>b</w:t>
      </w:r>
      <w:r w:rsidRPr="00E51FA9">
        <w:rPr>
          <w:rFonts w:asciiTheme="majorBidi" w:hAnsiTheme="majorBidi" w:cstheme="majorBidi"/>
          <w:sz w:val="24"/>
          <w:szCs w:val="24"/>
        </w:rPr>
        <w:t>). There are remarkable similarities, between the descriptors of quality in poorer quality services with those discussed earlier in service</w:t>
      </w:r>
      <w:r w:rsidR="00F96C07">
        <w:rPr>
          <w:rFonts w:asciiTheme="majorBidi" w:hAnsiTheme="majorBidi" w:cstheme="majorBidi"/>
          <w:sz w:val="24"/>
          <w:szCs w:val="24"/>
        </w:rPr>
        <w:t>s</w:t>
      </w:r>
      <w:r w:rsidRPr="00E51FA9">
        <w:rPr>
          <w:rFonts w:asciiTheme="majorBidi" w:hAnsiTheme="majorBidi" w:cstheme="majorBidi"/>
          <w:sz w:val="24"/>
          <w:szCs w:val="24"/>
        </w:rPr>
        <w:t xml:space="preserve"> where abuse occurs. The five dimensions of culture identified by Bigby and colleagues provides evidence-based indicators and examples of good practices that are associated with better safety and quality of life outcome for individuals with intellectual disabilities.</w:t>
      </w:r>
    </w:p>
    <w:p w14:paraId="79272983" w14:textId="77777777"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In services where service users have better quality of life outcomes, culture is described as; </w:t>
      </w:r>
    </w:p>
    <w:p w14:paraId="6E708FA2" w14:textId="77777777"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1. Alignment of power holder values: this dimension was characterized by strong “in action” leadership and team work. Supervisors are aligned with the espoused values of the organisation and are working alongside staff. Teamwork is emphasised and responsibility is shared by staff and supervisor, and consistently exercised by the whole team to translate espoused organisational values into practice. </w:t>
      </w:r>
    </w:p>
    <w:p w14:paraId="2E946D32" w14:textId="77777777" w:rsidR="006F0F65" w:rsidRPr="00E51FA9" w:rsidRDefault="006F0F65" w:rsidP="006F0F65">
      <w:pPr>
        <w:spacing w:after="120" w:line="360" w:lineRule="auto"/>
        <w:rPr>
          <w:sz w:val="24"/>
          <w:szCs w:val="24"/>
        </w:rPr>
      </w:pPr>
      <w:r w:rsidRPr="00E51FA9">
        <w:rPr>
          <w:noProof/>
          <w:sz w:val="24"/>
          <w:szCs w:val="24"/>
          <w:lang w:eastAsia="en-AU"/>
        </w:rPr>
        <w:lastRenderedPageBreak/>
        <w:drawing>
          <wp:inline distT="0" distB="0" distL="0" distR="0" wp14:anchorId="6F7B10EE" wp14:editId="5F4575B7">
            <wp:extent cx="5089308" cy="71341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iag.png"/>
                    <pic:cNvPicPr/>
                  </pic:nvPicPr>
                  <pic:blipFill>
                    <a:blip r:embed="rId15"/>
                    <a:stretch>
                      <a:fillRect/>
                    </a:stretch>
                  </pic:blipFill>
                  <pic:spPr>
                    <a:xfrm>
                      <a:off x="0" y="0"/>
                      <a:ext cx="5089308" cy="7134174"/>
                    </a:xfrm>
                    <a:prstGeom prst="rect">
                      <a:avLst/>
                    </a:prstGeom>
                  </pic:spPr>
                </pic:pic>
              </a:graphicData>
            </a:graphic>
          </wp:inline>
        </w:drawing>
      </w:r>
    </w:p>
    <w:p w14:paraId="0F2DEA1D" w14:textId="3DC75A65" w:rsidR="006F0F65" w:rsidRDefault="006F0F65" w:rsidP="004E6BB5">
      <w:pPr>
        <w:spacing w:line="276" w:lineRule="auto"/>
        <w:outlineLvl w:val="0"/>
        <w:rPr>
          <w:sz w:val="24"/>
          <w:szCs w:val="24"/>
        </w:rPr>
      </w:pPr>
      <w:r w:rsidRPr="00E51FA9">
        <w:rPr>
          <w:sz w:val="24"/>
          <w:szCs w:val="24"/>
        </w:rPr>
        <w:t>Figure 2: Culture dimensions in underperforming and better residential care</w:t>
      </w:r>
      <w:r w:rsidR="00F96C07">
        <w:rPr>
          <w:sz w:val="24"/>
          <w:szCs w:val="24"/>
        </w:rPr>
        <w:t xml:space="preserve"> </w:t>
      </w:r>
    </w:p>
    <w:p w14:paraId="3A3C7E55" w14:textId="71915EBB" w:rsidR="00F96C07" w:rsidRPr="00F96C07" w:rsidRDefault="00F96C07" w:rsidP="006F0F65">
      <w:pPr>
        <w:spacing w:after="120" w:line="276" w:lineRule="auto"/>
        <w:rPr>
          <w:i/>
          <w:sz w:val="18"/>
          <w:szCs w:val="18"/>
        </w:rPr>
      </w:pPr>
      <w:r w:rsidRPr="00F96C07">
        <w:rPr>
          <w:i/>
          <w:sz w:val="18"/>
          <w:szCs w:val="18"/>
        </w:rPr>
        <w:t>Source:  Bigby &amp; Beadle-Brown 2016a</w:t>
      </w:r>
    </w:p>
    <w:p w14:paraId="471CD34D" w14:textId="77777777" w:rsidR="003929B4" w:rsidRPr="00E51FA9" w:rsidRDefault="003929B4" w:rsidP="00AB6044">
      <w:pPr>
        <w:spacing w:after="120" w:line="360" w:lineRule="auto"/>
        <w:rPr>
          <w:rFonts w:asciiTheme="majorBidi" w:hAnsiTheme="majorBidi" w:cstheme="majorBidi"/>
          <w:sz w:val="24"/>
          <w:szCs w:val="24"/>
        </w:rPr>
      </w:pPr>
    </w:p>
    <w:p w14:paraId="5A6F392F" w14:textId="77777777" w:rsidR="000872AE" w:rsidRPr="00E51FA9" w:rsidRDefault="000872AE" w:rsidP="000872AE">
      <w:pPr>
        <w:spacing w:after="120" w:line="360" w:lineRule="auto"/>
        <w:rPr>
          <w:rFonts w:asciiTheme="majorBidi" w:hAnsiTheme="majorBidi" w:cstheme="majorBidi"/>
          <w:sz w:val="24"/>
          <w:szCs w:val="24"/>
        </w:rPr>
      </w:pPr>
      <w:r w:rsidRPr="00E51FA9">
        <w:rPr>
          <w:rFonts w:asciiTheme="majorBidi" w:hAnsiTheme="majorBidi" w:cstheme="majorBidi"/>
          <w:sz w:val="24"/>
          <w:szCs w:val="24"/>
        </w:rPr>
        <w:t>2. Regard for residents: staff perception of residents as human, acknowledging and respecting differences in residents’ functioning and being.</w:t>
      </w:r>
    </w:p>
    <w:p w14:paraId="7C9EF04D" w14:textId="1F9459FB"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lastRenderedPageBreak/>
        <w:t>3. Perceived purpose: staff perception of the overarching purpose of their practice hinged on supporting individualised practice, emphasising the residen</w:t>
      </w:r>
      <w:r w:rsidR="00F96C07">
        <w:rPr>
          <w:rFonts w:asciiTheme="majorBidi" w:hAnsiTheme="majorBidi" w:cstheme="majorBidi"/>
          <w:sz w:val="24"/>
          <w:szCs w:val="24"/>
        </w:rPr>
        <w:t>ts’</w:t>
      </w:r>
      <w:r w:rsidRPr="00E51FA9">
        <w:rPr>
          <w:rFonts w:asciiTheme="majorBidi" w:hAnsiTheme="majorBidi" w:cstheme="majorBidi"/>
          <w:sz w:val="24"/>
          <w:szCs w:val="24"/>
        </w:rPr>
        <w:t xml:space="preserve"> dignity, care, comfort and choice to lead the type of life they wanted. </w:t>
      </w:r>
    </w:p>
    <w:p w14:paraId="7875B753" w14:textId="0FCAF19F"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4. Working practice: working practices is person centred and characterised by attentiveness, relationships, flexibility and momentary fun interactions. Clear emphasis on </w:t>
      </w:r>
      <w:r w:rsidR="001531CC" w:rsidRPr="00E51FA9">
        <w:rPr>
          <w:rFonts w:asciiTheme="majorBidi" w:hAnsiTheme="majorBidi" w:cstheme="majorBidi"/>
          <w:sz w:val="24"/>
          <w:szCs w:val="24"/>
        </w:rPr>
        <w:t>residen</w:t>
      </w:r>
      <w:r w:rsidR="001531CC">
        <w:rPr>
          <w:rFonts w:asciiTheme="majorBidi" w:hAnsiTheme="majorBidi" w:cstheme="majorBidi"/>
          <w:sz w:val="24"/>
          <w:szCs w:val="24"/>
        </w:rPr>
        <w:t>ts’</w:t>
      </w:r>
      <w:r w:rsidR="001531CC" w:rsidRPr="00E51FA9">
        <w:rPr>
          <w:rFonts w:asciiTheme="majorBidi" w:hAnsiTheme="majorBidi" w:cstheme="majorBidi"/>
          <w:sz w:val="24"/>
          <w:szCs w:val="24"/>
        </w:rPr>
        <w:t xml:space="preserve"> needs</w:t>
      </w:r>
      <w:r w:rsidRPr="00E51FA9">
        <w:rPr>
          <w:rFonts w:asciiTheme="majorBidi" w:hAnsiTheme="majorBidi" w:cstheme="majorBidi"/>
          <w:sz w:val="24"/>
          <w:szCs w:val="24"/>
        </w:rPr>
        <w:t xml:space="preserve"> and wants over completion of task and staff needs, staff are attentive to the spectrum of each residen</w:t>
      </w:r>
      <w:r w:rsidR="00F96C07">
        <w:rPr>
          <w:rFonts w:asciiTheme="majorBidi" w:hAnsiTheme="majorBidi" w:cstheme="majorBidi"/>
          <w:sz w:val="24"/>
          <w:szCs w:val="24"/>
        </w:rPr>
        <w:t>ts’</w:t>
      </w:r>
      <w:r w:rsidRPr="00E51FA9">
        <w:rPr>
          <w:rFonts w:asciiTheme="majorBidi" w:hAnsiTheme="majorBidi" w:cstheme="majorBidi"/>
          <w:sz w:val="24"/>
          <w:szCs w:val="24"/>
        </w:rPr>
        <w:t xml:space="preserve"> preferences and needs. Staff value the relationships with each residen</w:t>
      </w:r>
      <w:r w:rsidR="00F96C07">
        <w:rPr>
          <w:rFonts w:asciiTheme="majorBidi" w:hAnsiTheme="majorBidi" w:cstheme="majorBidi"/>
          <w:sz w:val="24"/>
          <w:szCs w:val="24"/>
        </w:rPr>
        <w:t>t</w:t>
      </w:r>
      <w:r w:rsidRPr="00E51FA9">
        <w:rPr>
          <w:rFonts w:asciiTheme="majorBidi" w:hAnsiTheme="majorBidi" w:cstheme="majorBidi"/>
          <w:sz w:val="24"/>
          <w:szCs w:val="24"/>
        </w:rPr>
        <w:t>, which are characterised by warmth, care and commitment. Also evident in this dimension was staff flexibility in their time and location - staff manage their time around the needs of residents rather than completion of task and daily routine.</w:t>
      </w:r>
    </w:p>
    <w:p w14:paraId="5706E702" w14:textId="77777777" w:rsidR="00AB6044" w:rsidRPr="00E51FA9" w:rsidRDefault="00AB6044" w:rsidP="00AB6044">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5. Orientation to change and ideas: the organisation is open to outsiders and new ideas. Interaction was embraced with outsiders, such as families of residents, staff from other parts of the organisation, local communities, and communities of interest around disability issues. </w:t>
      </w:r>
    </w:p>
    <w:p w14:paraId="3ED91B4F" w14:textId="77777777" w:rsidR="00AB6044" w:rsidRPr="00F1368D" w:rsidRDefault="00AB6044" w:rsidP="0019074D">
      <w:pPr>
        <w:spacing w:after="120" w:line="360" w:lineRule="auto"/>
        <w:outlineLvl w:val="0"/>
        <w:rPr>
          <w:rFonts w:asciiTheme="majorBidi" w:hAnsiTheme="majorBidi" w:cstheme="majorBidi"/>
          <w:i/>
          <w:sz w:val="24"/>
          <w:szCs w:val="24"/>
          <w:u w:color="000000"/>
          <w:lang w:eastAsia="en-AU"/>
        </w:rPr>
      </w:pPr>
      <w:r w:rsidRPr="00F1368D">
        <w:rPr>
          <w:rFonts w:asciiTheme="majorBidi" w:hAnsiTheme="majorBidi" w:cstheme="majorBidi"/>
          <w:b/>
          <w:bCs/>
          <w:i/>
          <w:color w:val="000000" w:themeColor="text1"/>
          <w:sz w:val="24"/>
          <w:szCs w:val="24"/>
          <w:lang w:eastAsia="en-AU"/>
        </w:rPr>
        <w:t>Prevention of violence and abuse</w:t>
      </w:r>
    </w:p>
    <w:p w14:paraId="29F96889" w14:textId="6978A54B" w:rsidR="00AB6044" w:rsidRPr="00E51FA9" w:rsidRDefault="00AB6044" w:rsidP="00AB6044">
      <w:p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 xml:space="preserve">Prevention can be conceptualised as investing in future outcomes by influencing current behaviours or conditions to stop negative action or behaviour, or to promote positive action or behaviour (Stagner &amp; Lansing, 2009). Interventions should both reduce risk factors and promote protective factors, in order to successfully address abuse and ensure the health, safety and well-being of individuals with disabilities </w:t>
      </w:r>
      <w:bookmarkStart w:id="11" w:name="_Hlk492795793"/>
      <w:r w:rsidRPr="00E51FA9">
        <w:rPr>
          <w:rFonts w:asciiTheme="majorBidi" w:hAnsiTheme="majorBidi" w:cstheme="majorBidi"/>
          <w:sz w:val="24"/>
          <w:szCs w:val="24"/>
          <w:u w:color="000000"/>
          <w:lang w:eastAsia="en-AU"/>
        </w:rPr>
        <w:t>(Butchart &amp; Mikton, 2014)</w:t>
      </w:r>
      <w:bookmarkEnd w:id="11"/>
      <w:r w:rsidRPr="00E51FA9">
        <w:rPr>
          <w:rFonts w:asciiTheme="majorBidi" w:hAnsiTheme="majorBidi" w:cstheme="majorBidi"/>
          <w:sz w:val="24"/>
          <w:szCs w:val="24"/>
          <w:u w:color="000000"/>
          <w:lang w:eastAsia="en-AU"/>
        </w:rPr>
        <w:t xml:space="preserve">. </w:t>
      </w:r>
      <w:r w:rsidR="006B3801" w:rsidRPr="00E51FA9">
        <w:rPr>
          <w:rFonts w:asciiTheme="majorBidi" w:hAnsiTheme="majorBidi" w:cstheme="majorBidi"/>
          <w:sz w:val="24"/>
          <w:szCs w:val="24"/>
          <w:u w:color="000000"/>
          <w:lang w:eastAsia="en-AU"/>
        </w:rPr>
        <w:t xml:space="preserve"> Over the years A</w:t>
      </w:r>
      <w:r w:rsidRPr="00E51FA9">
        <w:rPr>
          <w:rFonts w:asciiTheme="majorBidi" w:hAnsiTheme="majorBidi" w:cstheme="majorBidi"/>
          <w:sz w:val="24"/>
          <w:szCs w:val="24"/>
          <w:u w:color="000000"/>
          <w:lang w:eastAsia="en-AU"/>
        </w:rPr>
        <w:t>ustralian federal and state government</w:t>
      </w:r>
      <w:r w:rsidR="00F96C07">
        <w:rPr>
          <w:rFonts w:asciiTheme="majorBidi" w:hAnsiTheme="majorBidi" w:cstheme="majorBidi"/>
          <w:sz w:val="24"/>
          <w:szCs w:val="24"/>
          <w:u w:color="000000"/>
          <w:lang w:eastAsia="en-AU"/>
        </w:rPr>
        <w:t>s</w:t>
      </w:r>
      <w:r w:rsidRPr="00E51FA9">
        <w:rPr>
          <w:rFonts w:asciiTheme="majorBidi" w:hAnsiTheme="majorBidi" w:cstheme="majorBidi"/>
          <w:sz w:val="24"/>
          <w:szCs w:val="24"/>
          <w:u w:color="000000"/>
          <w:lang w:eastAsia="en-AU"/>
        </w:rPr>
        <w:t xml:space="preserve">, as well as advocacy groups and other stakeholders, have developed and implemented a wide array of strategies to prevent abuse and promote safety of individuals with disabilities residing in supported accommodation. </w:t>
      </w:r>
    </w:p>
    <w:p w14:paraId="602C2A82" w14:textId="188A01A8" w:rsidR="00AB6044" w:rsidRPr="00E51FA9" w:rsidRDefault="00AB6044" w:rsidP="00AB6044">
      <w:p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Various models map the targets of abuse prevention (Butchart &amp; Mikton, 2014). The most common is the World Health Organisation’s three-tier prevention model</w:t>
      </w:r>
      <w:r w:rsidR="005333FE">
        <w:rPr>
          <w:rFonts w:asciiTheme="majorBidi" w:hAnsiTheme="majorBidi" w:cstheme="majorBidi"/>
          <w:sz w:val="24"/>
          <w:szCs w:val="24"/>
          <w:u w:color="000000"/>
          <w:lang w:eastAsia="en-AU"/>
        </w:rPr>
        <w:t xml:space="preserve"> (World Health Organisation [WHO], 2009; 2011</w:t>
      </w:r>
      <w:r w:rsidR="00B87E88">
        <w:rPr>
          <w:rFonts w:asciiTheme="majorBidi" w:hAnsiTheme="majorBidi" w:cstheme="majorBidi"/>
          <w:sz w:val="24"/>
          <w:szCs w:val="24"/>
          <w:u w:color="000000"/>
          <w:lang w:eastAsia="en-AU"/>
        </w:rPr>
        <w:t>; 2013</w:t>
      </w:r>
      <w:r w:rsidR="005333FE">
        <w:rPr>
          <w:rFonts w:asciiTheme="majorBidi" w:hAnsiTheme="majorBidi" w:cstheme="majorBidi"/>
          <w:sz w:val="24"/>
          <w:szCs w:val="24"/>
          <w:u w:color="000000"/>
          <w:lang w:eastAsia="en-AU"/>
        </w:rPr>
        <w:t>)</w:t>
      </w:r>
      <w:r w:rsidRPr="00E51FA9">
        <w:rPr>
          <w:rFonts w:asciiTheme="majorBidi" w:hAnsiTheme="majorBidi" w:cstheme="majorBidi"/>
          <w:sz w:val="24"/>
          <w:szCs w:val="24"/>
          <w:u w:color="000000"/>
          <w:lang w:eastAsia="en-AU"/>
        </w:rPr>
        <w:t>. This includes primary, secondary and tertiary interventions, with each tier having different goals and strategies.</w:t>
      </w:r>
      <w:r w:rsidRPr="00E51FA9">
        <w:rPr>
          <w:rFonts w:asciiTheme="majorBidi" w:hAnsiTheme="majorBidi" w:cstheme="majorBidi" w:hint="cs"/>
          <w:sz w:val="24"/>
          <w:szCs w:val="24"/>
          <w:u w:color="000000"/>
          <w:lang w:eastAsia="en-AU"/>
        </w:rPr>
        <w:t xml:space="preserve"> </w:t>
      </w:r>
      <w:r w:rsidRPr="00E51FA9">
        <w:rPr>
          <w:rFonts w:asciiTheme="majorBidi" w:hAnsiTheme="majorBidi" w:cstheme="majorBidi"/>
          <w:sz w:val="24"/>
          <w:szCs w:val="24"/>
          <w:u w:color="000000"/>
          <w:lang w:eastAsia="en-AU" w:bidi="he-IL"/>
        </w:rPr>
        <w:t xml:space="preserve">This model complements the socio-ecological framework, in that every </w:t>
      </w:r>
      <w:r w:rsidRPr="00E51FA9">
        <w:rPr>
          <w:rFonts w:asciiTheme="majorBidi" w:hAnsiTheme="majorBidi" w:cstheme="majorBidi"/>
          <w:sz w:val="24"/>
          <w:szCs w:val="24"/>
          <w:u w:color="000000"/>
          <w:lang w:eastAsia="en-AU"/>
        </w:rPr>
        <w:t xml:space="preserve">tier targets interventions at each of the four different levels </w:t>
      </w:r>
      <w:r w:rsidR="006B3801" w:rsidRPr="00E51FA9">
        <w:rPr>
          <w:rFonts w:asciiTheme="majorBidi" w:hAnsiTheme="majorBidi" w:cstheme="majorBidi"/>
          <w:sz w:val="24"/>
          <w:szCs w:val="24"/>
          <w:u w:color="000000"/>
          <w:lang w:eastAsia="en-AU"/>
        </w:rPr>
        <w:t xml:space="preserve">of </w:t>
      </w:r>
      <w:r w:rsidR="001531CC" w:rsidRPr="00E51FA9">
        <w:rPr>
          <w:rFonts w:asciiTheme="majorBidi" w:hAnsiTheme="majorBidi" w:cstheme="majorBidi"/>
          <w:sz w:val="24"/>
          <w:szCs w:val="24"/>
          <w:u w:color="000000"/>
          <w:lang w:eastAsia="en-AU"/>
        </w:rPr>
        <w:t>the model</w:t>
      </w:r>
      <w:r w:rsidRPr="00E51FA9">
        <w:rPr>
          <w:rFonts w:asciiTheme="majorBidi" w:hAnsiTheme="majorBidi" w:cstheme="majorBidi"/>
          <w:sz w:val="24"/>
          <w:szCs w:val="24"/>
          <w:u w:color="000000"/>
          <w:lang w:eastAsia="en-AU"/>
        </w:rPr>
        <w:t xml:space="preserve"> (individual, community, relationship and society).  </w:t>
      </w:r>
    </w:p>
    <w:p w14:paraId="196795CB" w14:textId="04C78E85" w:rsidR="00AB6044" w:rsidRPr="00E51FA9" w:rsidRDefault="00AB6044" w:rsidP="00AB6044">
      <w:pPr>
        <w:numPr>
          <w:ilvl w:val="0"/>
          <w:numId w:val="29"/>
        </w:numPr>
        <w:autoSpaceDE w:val="0"/>
        <w:autoSpaceDN w:val="0"/>
        <w:adjustRightInd w:val="0"/>
        <w:spacing w:after="120" w:line="360" w:lineRule="auto"/>
        <w:rPr>
          <w:rFonts w:asciiTheme="majorBidi" w:hAnsiTheme="majorBidi" w:cstheme="majorBidi"/>
          <w:sz w:val="24"/>
          <w:szCs w:val="24"/>
          <w:u w:color="000000"/>
          <w:rtl/>
          <w:lang w:eastAsia="en-AU"/>
        </w:rPr>
      </w:pPr>
      <w:r w:rsidRPr="00E51FA9">
        <w:rPr>
          <w:rFonts w:asciiTheme="majorBidi" w:hAnsiTheme="majorBidi" w:cstheme="majorBidi"/>
          <w:i/>
          <w:iCs/>
          <w:sz w:val="24"/>
          <w:szCs w:val="24"/>
          <w:u w:color="000000"/>
          <w:lang w:eastAsia="en-AU"/>
        </w:rPr>
        <w:t>Primary prevention</w:t>
      </w:r>
      <w:r w:rsidRPr="00E51FA9">
        <w:rPr>
          <w:rFonts w:asciiTheme="majorBidi" w:hAnsiTheme="majorBidi" w:cstheme="majorBidi"/>
          <w:sz w:val="24"/>
          <w:szCs w:val="24"/>
          <w:u w:color="000000"/>
          <w:lang w:eastAsia="en-AU"/>
        </w:rPr>
        <w:t xml:space="preserve">: aims to prevent abuse from occurring in the first instance; this tier includes strategies targeted at the individual, the community and the relationship level. For instance, </w:t>
      </w:r>
      <w:r w:rsidR="00795F5E" w:rsidRPr="00E51FA9">
        <w:rPr>
          <w:rFonts w:asciiTheme="majorBidi" w:hAnsiTheme="majorBidi" w:cstheme="majorBidi"/>
          <w:sz w:val="24"/>
          <w:szCs w:val="24"/>
          <w:u w:color="000000"/>
          <w:lang w:eastAsia="en-AU"/>
        </w:rPr>
        <w:t>psych</w:t>
      </w:r>
      <w:r w:rsidR="00CA3EEA" w:rsidRPr="00E51FA9">
        <w:rPr>
          <w:rFonts w:asciiTheme="majorBidi" w:hAnsiTheme="majorBidi" w:cstheme="majorBidi"/>
          <w:sz w:val="24"/>
          <w:szCs w:val="24"/>
          <w:u w:color="000000"/>
          <w:lang w:eastAsia="en-AU"/>
        </w:rPr>
        <w:t>o</w:t>
      </w:r>
      <w:r w:rsidR="00795F5E" w:rsidRPr="00E51FA9">
        <w:rPr>
          <w:rFonts w:asciiTheme="majorBidi" w:hAnsiTheme="majorBidi" w:cstheme="majorBidi"/>
          <w:sz w:val="24"/>
          <w:szCs w:val="24"/>
          <w:u w:color="000000"/>
          <w:lang w:eastAsia="en-AU"/>
        </w:rPr>
        <w:t>-educational</w:t>
      </w:r>
      <w:r w:rsidRPr="00E51FA9">
        <w:rPr>
          <w:rFonts w:asciiTheme="majorBidi" w:hAnsiTheme="majorBidi" w:cstheme="majorBidi"/>
          <w:sz w:val="24"/>
          <w:szCs w:val="24"/>
          <w:u w:color="000000"/>
          <w:lang w:eastAsia="en-AU"/>
        </w:rPr>
        <w:t xml:space="preserve"> intervention and behavioural skills training for </w:t>
      </w:r>
      <w:r w:rsidR="008608B5" w:rsidRPr="00E51FA9">
        <w:rPr>
          <w:rFonts w:asciiTheme="majorBidi" w:hAnsiTheme="majorBidi" w:cstheme="majorBidi"/>
          <w:sz w:val="24"/>
          <w:szCs w:val="24"/>
          <w:u w:color="000000"/>
          <w:lang w:eastAsia="en-AU"/>
        </w:rPr>
        <w:t>people</w:t>
      </w:r>
      <w:r w:rsidRPr="00E51FA9">
        <w:rPr>
          <w:rFonts w:asciiTheme="majorBidi" w:hAnsiTheme="majorBidi" w:cstheme="majorBidi"/>
          <w:sz w:val="24"/>
          <w:szCs w:val="24"/>
          <w:u w:color="000000"/>
          <w:lang w:eastAsia="en-AU"/>
        </w:rPr>
        <w:t xml:space="preserve"> with disabilities and staff (the individual level). Primary prevention at the community and </w:t>
      </w:r>
      <w:r w:rsidRPr="00E51FA9">
        <w:rPr>
          <w:rFonts w:asciiTheme="majorBidi" w:hAnsiTheme="majorBidi" w:cstheme="majorBidi"/>
          <w:sz w:val="24"/>
          <w:szCs w:val="24"/>
          <w:u w:color="000000"/>
          <w:lang w:eastAsia="en-AU"/>
        </w:rPr>
        <w:lastRenderedPageBreak/>
        <w:t xml:space="preserve">relationship level would entail providing support, supervision and guidance for </w:t>
      </w:r>
      <w:r w:rsidR="00F96C07">
        <w:rPr>
          <w:rFonts w:asciiTheme="majorBidi" w:hAnsiTheme="majorBidi" w:cstheme="majorBidi"/>
          <w:sz w:val="24"/>
          <w:szCs w:val="24"/>
          <w:u w:color="000000"/>
          <w:lang w:eastAsia="en-AU"/>
        </w:rPr>
        <w:t xml:space="preserve">the </w:t>
      </w:r>
      <w:r w:rsidRPr="00E51FA9">
        <w:rPr>
          <w:rFonts w:asciiTheme="majorBidi" w:hAnsiTheme="majorBidi" w:cstheme="majorBidi"/>
          <w:sz w:val="24"/>
          <w:szCs w:val="24"/>
          <w:u w:color="000000"/>
          <w:lang w:eastAsia="en-AU"/>
        </w:rPr>
        <w:t>design of services, providing adequate training, support, and supervision for staff in services, and implementing effective recruitment screening practices.</w:t>
      </w:r>
      <w:r w:rsidRPr="00E51FA9">
        <w:rPr>
          <w:rFonts w:asciiTheme="majorBidi" w:hAnsiTheme="majorBidi" w:cstheme="majorBidi"/>
          <w:i/>
          <w:iCs/>
          <w:sz w:val="24"/>
          <w:szCs w:val="24"/>
          <w:u w:color="000000"/>
          <w:lang w:eastAsia="en-AU"/>
        </w:rPr>
        <w:t xml:space="preserve"> </w:t>
      </w:r>
      <w:r w:rsidRPr="00E51FA9">
        <w:rPr>
          <w:rFonts w:asciiTheme="majorBidi" w:hAnsiTheme="majorBidi" w:cstheme="majorBidi"/>
          <w:iCs/>
          <w:sz w:val="24"/>
          <w:szCs w:val="24"/>
          <w:u w:color="000000"/>
          <w:lang w:eastAsia="en-AU"/>
        </w:rPr>
        <w:t>At the societal level</w:t>
      </w:r>
      <w:r w:rsidRPr="00E51FA9">
        <w:rPr>
          <w:rFonts w:asciiTheme="majorBidi" w:hAnsiTheme="majorBidi" w:cstheme="majorBidi"/>
          <w:i/>
          <w:iCs/>
          <w:sz w:val="24"/>
          <w:szCs w:val="24"/>
          <w:u w:color="000000"/>
          <w:lang w:eastAsia="en-AU"/>
        </w:rPr>
        <w:t>,</w:t>
      </w:r>
      <w:r w:rsidRPr="00E51FA9">
        <w:rPr>
          <w:rFonts w:asciiTheme="majorBidi" w:hAnsiTheme="majorBidi" w:cstheme="majorBidi"/>
          <w:sz w:val="24"/>
          <w:szCs w:val="24"/>
          <w:u w:color="000000"/>
          <w:lang w:eastAsia="en-AU"/>
        </w:rPr>
        <w:t xml:space="preserve"> the primary prevention tier includes efforts to promote policy and legal reform to prevent violence and abuse by challenging attitudes and social norms,</w:t>
      </w:r>
      <w:r w:rsidRPr="00E51FA9">
        <w:t xml:space="preserve"> </w:t>
      </w:r>
      <w:r w:rsidRPr="00E51FA9">
        <w:rPr>
          <w:rFonts w:asciiTheme="majorBidi" w:hAnsiTheme="majorBidi" w:cstheme="majorBidi"/>
          <w:sz w:val="24"/>
          <w:szCs w:val="24"/>
          <w:u w:color="000000"/>
          <w:lang w:eastAsia="en-AU"/>
        </w:rPr>
        <w:t>challenging the unjust power relations that sustain and are sustained by violence, addressing the social conditions associated with violence, and promoting non-violent norms</w:t>
      </w:r>
      <w:r w:rsidR="008608B5" w:rsidRPr="00E51FA9">
        <w:rPr>
          <w:rFonts w:asciiTheme="majorBidi" w:hAnsiTheme="majorBidi" w:cstheme="majorBidi"/>
          <w:sz w:val="24"/>
          <w:szCs w:val="24"/>
          <w:u w:color="000000"/>
          <w:lang w:eastAsia="en-AU"/>
        </w:rPr>
        <w:t xml:space="preserve"> as well as </w:t>
      </w:r>
      <w:r w:rsidRPr="00E51FA9">
        <w:rPr>
          <w:rFonts w:asciiTheme="majorBidi" w:hAnsiTheme="majorBidi" w:cstheme="majorBidi"/>
          <w:sz w:val="24"/>
          <w:szCs w:val="24"/>
          <w:u w:color="000000"/>
          <w:lang w:eastAsia="en-AU"/>
        </w:rPr>
        <w:t>warm and productive care relations.</w:t>
      </w:r>
    </w:p>
    <w:p w14:paraId="35EA5B0C" w14:textId="76B32E93" w:rsidR="00AB6044" w:rsidRPr="00E51FA9" w:rsidRDefault="00AB6044" w:rsidP="00AB6044">
      <w:pPr>
        <w:numPr>
          <w:ilvl w:val="0"/>
          <w:numId w:val="29"/>
        </w:num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i/>
          <w:iCs/>
          <w:sz w:val="24"/>
          <w:szCs w:val="24"/>
          <w:lang w:eastAsia="en-AU"/>
        </w:rPr>
        <w:t>Secondary prevention</w:t>
      </w:r>
      <w:r w:rsidRPr="00E51FA9">
        <w:rPr>
          <w:rFonts w:asciiTheme="majorBidi" w:hAnsiTheme="majorBidi" w:cstheme="majorBidi"/>
          <w:sz w:val="24"/>
          <w:szCs w:val="24"/>
          <w:u w:color="000000"/>
          <w:lang w:eastAsia="en-AU"/>
        </w:rPr>
        <w:t xml:space="preserve">: aims to identify and respond directly to allegations of abuse. This tier focuses on early identification and intervention, targeting those individuals at high risk of abuse </w:t>
      </w:r>
      <w:r w:rsidR="00F96C07">
        <w:rPr>
          <w:rFonts w:asciiTheme="majorBidi" w:hAnsiTheme="majorBidi" w:cstheme="majorBidi"/>
          <w:sz w:val="24"/>
          <w:szCs w:val="24"/>
          <w:u w:color="000000"/>
          <w:lang w:eastAsia="en-AU"/>
        </w:rPr>
        <w:t xml:space="preserve">and </w:t>
      </w:r>
      <w:r w:rsidRPr="00E51FA9">
        <w:rPr>
          <w:rFonts w:asciiTheme="majorBidi" w:hAnsiTheme="majorBidi" w:cstheme="majorBidi"/>
          <w:sz w:val="24"/>
          <w:szCs w:val="24"/>
          <w:u w:color="000000"/>
          <w:lang w:eastAsia="en-AU"/>
        </w:rPr>
        <w:t xml:space="preserve">working to reduce the likelihood of its occurrence. On the individual and relationship level, secondary prevention may involve strategies that empower individuals to report abuse, training about mandatory or non-mandatory reporting by stakeholders and recognition of indicators of abuse. On the community level this tier may include effective planning of protective services, such as inspection or community visitor schemes. </w:t>
      </w:r>
      <w:r w:rsidR="009B4192" w:rsidRPr="00E51FA9">
        <w:rPr>
          <w:rFonts w:asciiTheme="majorBidi" w:hAnsiTheme="majorBidi" w:cstheme="majorBidi"/>
          <w:sz w:val="24"/>
          <w:szCs w:val="24"/>
          <w:u w:color="000000"/>
          <w:lang w:eastAsia="en-AU"/>
        </w:rPr>
        <w:t xml:space="preserve">Finally, </w:t>
      </w:r>
      <w:r w:rsidRPr="00E51FA9">
        <w:rPr>
          <w:rFonts w:asciiTheme="majorBidi" w:hAnsiTheme="majorBidi" w:cstheme="majorBidi"/>
          <w:sz w:val="24"/>
          <w:szCs w:val="24"/>
          <w:u w:color="000000"/>
          <w:lang w:eastAsia="en-AU"/>
        </w:rPr>
        <w:t xml:space="preserve">Secondary prevention on the societal level may include strategies for policy reforms in respect of prosecutions of offenders, enforcing criminal and civil laws as a deterrent to further abuse, enforcing disciplinary actions, and investigatory power of audit, standards or regulatory bodies. </w:t>
      </w:r>
    </w:p>
    <w:p w14:paraId="7AB3AE14" w14:textId="77777777" w:rsidR="00AB6044" w:rsidRPr="00E51FA9" w:rsidRDefault="00AB6044" w:rsidP="00AB6044">
      <w:pPr>
        <w:numPr>
          <w:ilvl w:val="0"/>
          <w:numId w:val="29"/>
        </w:num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i/>
          <w:iCs/>
          <w:sz w:val="24"/>
          <w:szCs w:val="24"/>
          <w:u w:color="000000"/>
          <w:lang w:eastAsia="en-AU"/>
        </w:rPr>
        <w:t>Tertiary prevention</w:t>
      </w:r>
      <w:r w:rsidRPr="00E51FA9">
        <w:rPr>
          <w:rFonts w:asciiTheme="majorBidi" w:hAnsiTheme="majorBidi" w:cstheme="majorBidi"/>
          <w:sz w:val="24"/>
          <w:szCs w:val="24"/>
          <w:u w:color="000000"/>
          <w:lang w:eastAsia="en-AU"/>
        </w:rPr>
        <w:t xml:space="preserve">: aims to remedy any negative and harmful consequences of experiencing abuse and put in place measures to prevent its re-occurrences. On the individual level tertiary prevention includes efforts to provide medical, psychological and social supports for abuse victims, as well as peer support counselling and rehabilitation for perpetrators. On the community level, it may include ongoing evaluation and monitoring of organisational procedures and culture in services in which abuse has occurred, and implementing policies to better respond and assist victims of abuse. </w:t>
      </w:r>
    </w:p>
    <w:p w14:paraId="5A2A237C" w14:textId="5A48130E" w:rsidR="00AB6044" w:rsidRPr="00E51FA9" w:rsidRDefault="00AB6044" w:rsidP="00AB6044">
      <w:p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 xml:space="preserve">Over the last </w:t>
      </w:r>
      <w:r w:rsidR="0021798F" w:rsidRPr="00E51FA9">
        <w:rPr>
          <w:rFonts w:asciiTheme="majorBidi" w:hAnsiTheme="majorBidi" w:cstheme="majorBidi"/>
          <w:sz w:val="24"/>
          <w:szCs w:val="24"/>
          <w:u w:color="000000"/>
          <w:lang w:eastAsia="en-AU" w:bidi="he-IL"/>
        </w:rPr>
        <w:t>two</w:t>
      </w:r>
      <w:r w:rsidRPr="00E51FA9">
        <w:rPr>
          <w:rFonts w:asciiTheme="majorBidi" w:hAnsiTheme="majorBidi" w:cstheme="majorBidi"/>
          <w:sz w:val="24"/>
          <w:szCs w:val="24"/>
          <w:u w:color="000000"/>
          <w:lang w:eastAsia="en-AU"/>
        </w:rPr>
        <w:t xml:space="preserve"> decades abuse against people with intellectual disabilities has gained significant attention from governments, the media, advocacy and the disability sector. A sequence of reports </w:t>
      </w:r>
      <w:r w:rsidR="00861FCE" w:rsidRPr="00E51FA9">
        <w:rPr>
          <w:rFonts w:asciiTheme="majorBidi" w:hAnsiTheme="majorBidi" w:cstheme="majorBidi"/>
          <w:sz w:val="24"/>
          <w:szCs w:val="24"/>
          <w:u w:color="000000"/>
          <w:lang w:eastAsia="en-AU"/>
        </w:rPr>
        <w:t>has</w:t>
      </w:r>
      <w:r w:rsidRPr="00E51FA9">
        <w:rPr>
          <w:rFonts w:asciiTheme="majorBidi" w:hAnsiTheme="majorBidi" w:cstheme="majorBidi"/>
          <w:sz w:val="24"/>
          <w:szCs w:val="24"/>
          <w:u w:color="000000"/>
          <w:lang w:eastAsia="en-AU"/>
        </w:rPr>
        <w:t xml:space="preserve"> inquired into abuse in the lives of people with disabilities, the state of disability service systems, and made recommendations for prevention strategies and policy reform. For example, a comprehensive review of models of abuse prevention strategies was undertaken in 2001 in a report commissioned by National Disability Administrators on behalf of Commonwealth, State and Territory Ministers responsible for disabi</w:t>
      </w:r>
      <w:r w:rsidR="00972EE8" w:rsidRPr="00E51FA9">
        <w:rPr>
          <w:rFonts w:asciiTheme="majorBidi" w:hAnsiTheme="majorBidi" w:cstheme="majorBidi"/>
          <w:sz w:val="24"/>
          <w:szCs w:val="24"/>
          <w:u w:color="000000"/>
          <w:lang w:eastAsia="en-AU"/>
        </w:rPr>
        <w:t>lity services in Australia</w:t>
      </w:r>
      <w:r w:rsidR="0039445C">
        <w:rPr>
          <w:rFonts w:asciiTheme="majorBidi" w:hAnsiTheme="majorBidi" w:cstheme="majorBidi"/>
          <w:sz w:val="24"/>
          <w:szCs w:val="24"/>
          <w:u w:color="000000"/>
          <w:lang w:eastAsia="en-AU"/>
        </w:rPr>
        <w:t xml:space="preserve"> (</w:t>
      </w:r>
      <w:r w:rsidR="0039445C">
        <w:rPr>
          <w:rFonts w:asciiTheme="majorBidi" w:hAnsiTheme="majorBidi" w:cstheme="majorBidi"/>
          <w:bCs/>
          <w:sz w:val="24"/>
          <w:szCs w:val="24"/>
        </w:rPr>
        <w:t>National Disability Administrators, 2002)</w:t>
      </w:r>
      <w:r w:rsidR="00972EE8" w:rsidRPr="00E51FA9">
        <w:rPr>
          <w:rFonts w:asciiTheme="majorBidi" w:hAnsiTheme="majorBidi" w:cstheme="majorBidi"/>
          <w:sz w:val="24"/>
          <w:szCs w:val="24"/>
          <w:u w:color="000000"/>
          <w:lang w:eastAsia="en-AU"/>
        </w:rPr>
        <w:t>.</w:t>
      </w:r>
      <w:r w:rsidRPr="00E51FA9">
        <w:rPr>
          <w:rFonts w:asciiTheme="majorBidi" w:hAnsiTheme="majorBidi" w:cstheme="majorBidi"/>
          <w:sz w:val="24"/>
          <w:szCs w:val="24"/>
          <w:u w:color="000000"/>
          <w:lang w:eastAsia="en-AU"/>
        </w:rPr>
        <w:t xml:space="preserve"> This was followed </w:t>
      </w:r>
      <w:r w:rsidR="00F96C07">
        <w:rPr>
          <w:rFonts w:asciiTheme="majorBidi" w:hAnsiTheme="majorBidi" w:cstheme="majorBidi"/>
          <w:sz w:val="24"/>
          <w:szCs w:val="24"/>
          <w:u w:color="000000"/>
          <w:lang w:eastAsia="en-AU"/>
        </w:rPr>
        <w:t>up by</w:t>
      </w:r>
      <w:r w:rsidRPr="00E51FA9">
        <w:rPr>
          <w:rFonts w:asciiTheme="majorBidi" w:hAnsiTheme="majorBidi" w:cstheme="majorBidi"/>
          <w:sz w:val="24"/>
          <w:szCs w:val="24"/>
          <w:u w:color="000000"/>
          <w:lang w:eastAsia="en-AU"/>
        </w:rPr>
        <w:t xml:space="preserve"> National Disability Services in </w:t>
      </w:r>
      <w:r w:rsidR="00F96C07">
        <w:rPr>
          <w:rFonts w:asciiTheme="majorBidi" w:hAnsiTheme="majorBidi" w:cstheme="majorBidi"/>
          <w:sz w:val="24"/>
          <w:szCs w:val="24"/>
          <w:u w:color="000000"/>
          <w:lang w:eastAsia="en-AU"/>
        </w:rPr>
        <w:t xml:space="preserve">a </w:t>
      </w:r>
      <w:r w:rsidRPr="00E51FA9">
        <w:rPr>
          <w:rFonts w:asciiTheme="majorBidi" w:hAnsiTheme="majorBidi" w:cstheme="majorBidi"/>
          <w:sz w:val="24"/>
          <w:szCs w:val="24"/>
          <w:u w:color="000000"/>
          <w:lang w:eastAsia="en-AU"/>
        </w:rPr>
        <w:t xml:space="preserve">further report in 2002 </w:t>
      </w:r>
      <w:r w:rsidR="007131B3">
        <w:rPr>
          <w:rFonts w:asciiTheme="majorBidi" w:hAnsiTheme="majorBidi" w:cstheme="majorBidi"/>
          <w:bCs/>
          <w:sz w:val="24"/>
          <w:szCs w:val="24"/>
        </w:rPr>
        <w:t xml:space="preserve"> </w:t>
      </w:r>
      <w:r w:rsidRPr="00E51FA9">
        <w:rPr>
          <w:rFonts w:asciiTheme="majorBidi" w:hAnsiTheme="majorBidi" w:cstheme="majorBidi"/>
          <w:sz w:val="24"/>
          <w:szCs w:val="24"/>
          <w:u w:color="000000"/>
          <w:lang w:eastAsia="en-AU"/>
        </w:rPr>
        <w:t>and la</w:t>
      </w:r>
      <w:r w:rsidR="00A377C1" w:rsidRPr="00E51FA9">
        <w:rPr>
          <w:rFonts w:asciiTheme="majorBidi" w:hAnsiTheme="majorBidi" w:cstheme="majorBidi"/>
          <w:sz w:val="24"/>
          <w:szCs w:val="24"/>
          <w:u w:color="000000"/>
          <w:lang w:eastAsia="en-AU"/>
        </w:rPr>
        <w:t xml:space="preserve">ter the Zero Tolerance </w:t>
      </w:r>
      <w:r w:rsidR="00A377C1" w:rsidRPr="00E51FA9">
        <w:rPr>
          <w:rFonts w:asciiTheme="majorBidi" w:hAnsiTheme="majorBidi" w:cstheme="majorBidi"/>
          <w:sz w:val="24"/>
          <w:szCs w:val="24"/>
          <w:u w:color="000000"/>
          <w:lang w:eastAsia="en-AU"/>
        </w:rPr>
        <w:lastRenderedPageBreak/>
        <w:t>project</w:t>
      </w:r>
      <w:r w:rsidR="00F96C07">
        <w:rPr>
          <w:rFonts w:asciiTheme="majorBidi" w:hAnsiTheme="majorBidi" w:cstheme="majorBidi"/>
          <w:sz w:val="24"/>
          <w:szCs w:val="24"/>
          <w:u w:color="000000"/>
          <w:lang w:eastAsia="en-AU"/>
        </w:rPr>
        <w:t xml:space="preserve"> in 2016</w:t>
      </w:r>
      <w:r w:rsidR="005333FE">
        <w:rPr>
          <w:rFonts w:asciiTheme="majorBidi" w:hAnsiTheme="majorBidi" w:cstheme="majorBidi"/>
          <w:sz w:val="24"/>
          <w:szCs w:val="24"/>
          <w:u w:color="000000"/>
          <w:lang w:eastAsia="en-AU"/>
        </w:rPr>
        <w:t xml:space="preserve"> (NDS, 2016)</w:t>
      </w:r>
      <w:r w:rsidRPr="00E51FA9">
        <w:rPr>
          <w:rFonts w:asciiTheme="majorBidi" w:hAnsiTheme="majorBidi" w:cstheme="majorBidi"/>
          <w:sz w:val="24"/>
          <w:szCs w:val="24"/>
          <w:u w:color="000000"/>
          <w:lang w:eastAsia="en-AU"/>
        </w:rPr>
        <w:t>. At the Commonwealth level</w:t>
      </w:r>
      <w:r w:rsidR="00F96C07">
        <w:rPr>
          <w:rFonts w:asciiTheme="majorBidi" w:hAnsiTheme="majorBidi" w:cstheme="majorBidi"/>
          <w:sz w:val="24"/>
          <w:szCs w:val="24"/>
          <w:u w:color="000000"/>
          <w:lang w:eastAsia="en-AU"/>
        </w:rPr>
        <w:t>,</w:t>
      </w:r>
      <w:r w:rsidRPr="00E51FA9">
        <w:rPr>
          <w:rFonts w:asciiTheme="majorBidi" w:hAnsiTheme="majorBidi" w:cstheme="majorBidi"/>
          <w:sz w:val="24"/>
          <w:szCs w:val="24"/>
          <w:u w:color="000000"/>
          <w:lang w:eastAsia="en-AU"/>
        </w:rPr>
        <w:t xml:space="preserve"> in 2015 a Senate Standing Committee on Community Affairs </w:t>
      </w:r>
      <w:r w:rsidRPr="00E51FA9">
        <w:rPr>
          <w:sz w:val="24"/>
          <w:szCs w:val="24"/>
        </w:rPr>
        <w:t>inve</w:t>
      </w:r>
      <w:r w:rsidRPr="00E51FA9">
        <w:rPr>
          <w:rFonts w:asciiTheme="majorBidi" w:hAnsiTheme="majorBidi" w:cstheme="majorBidi"/>
          <w:sz w:val="24"/>
          <w:szCs w:val="24"/>
          <w:u w:color="000000"/>
          <w:lang w:eastAsia="en-AU"/>
        </w:rPr>
        <w:t>stigated allegations of abuse in the disability sector</w:t>
      </w:r>
      <w:r w:rsidR="00F96C07">
        <w:rPr>
          <w:rFonts w:asciiTheme="majorBidi" w:hAnsiTheme="majorBidi" w:cstheme="majorBidi"/>
          <w:sz w:val="24"/>
          <w:szCs w:val="24"/>
          <w:u w:color="000000"/>
          <w:lang w:eastAsia="en-AU"/>
        </w:rPr>
        <w:t xml:space="preserve"> which led to calls from disability advocates for </w:t>
      </w:r>
      <w:r w:rsidR="006833EB">
        <w:rPr>
          <w:rFonts w:asciiTheme="majorBidi" w:hAnsiTheme="majorBidi" w:cstheme="majorBidi"/>
          <w:sz w:val="24"/>
          <w:szCs w:val="24"/>
          <w:u w:color="000000"/>
          <w:lang w:eastAsia="en-AU"/>
        </w:rPr>
        <w:t xml:space="preserve">a </w:t>
      </w:r>
      <w:r w:rsidRPr="00E51FA9">
        <w:rPr>
          <w:rFonts w:asciiTheme="majorBidi" w:hAnsiTheme="majorBidi" w:cstheme="majorBidi"/>
          <w:sz w:val="24"/>
          <w:szCs w:val="24"/>
          <w:u w:color="000000"/>
          <w:lang w:eastAsia="en-AU"/>
        </w:rPr>
        <w:t>Royal Commission into abuse of people with disabilities</w:t>
      </w:r>
      <w:r w:rsidR="00DD1047">
        <w:rPr>
          <w:rFonts w:asciiTheme="majorBidi" w:hAnsiTheme="majorBidi" w:cstheme="majorBidi"/>
          <w:sz w:val="24"/>
          <w:szCs w:val="24"/>
          <w:u w:color="000000"/>
          <w:lang w:eastAsia="en-AU"/>
        </w:rPr>
        <w:t xml:space="preserve"> (</w:t>
      </w:r>
      <w:r w:rsidR="00DD1047" w:rsidRPr="00E51FA9">
        <w:rPr>
          <w:rFonts w:asciiTheme="majorBidi" w:hAnsiTheme="majorBidi" w:cstheme="majorBidi"/>
          <w:sz w:val="24"/>
          <w:szCs w:val="24"/>
        </w:rPr>
        <w:t xml:space="preserve">Senate Community Affairs </w:t>
      </w:r>
      <w:r w:rsidR="00DD1047">
        <w:rPr>
          <w:rFonts w:asciiTheme="majorBidi" w:hAnsiTheme="majorBidi" w:cstheme="majorBidi"/>
          <w:sz w:val="24"/>
          <w:szCs w:val="24"/>
        </w:rPr>
        <w:t xml:space="preserve">Committee Secretariat, </w:t>
      </w:r>
      <w:r w:rsidR="00DD1047" w:rsidRPr="00E51FA9">
        <w:rPr>
          <w:rFonts w:asciiTheme="majorBidi" w:hAnsiTheme="majorBidi" w:cstheme="majorBidi"/>
          <w:sz w:val="24"/>
          <w:szCs w:val="24"/>
        </w:rPr>
        <w:t>2015)</w:t>
      </w:r>
      <w:r w:rsidRPr="00E51FA9">
        <w:rPr>
          <w:rFonts w:asciiTheme="majorBidi" w:hAnsiTheme="majorBidi" w:cstheme="majorBidi"/>
          <w:sz w:val="24"/>
          <w:szCs w:val="24"/>
          <w:u w:color="000000"/>
          <w:lang w:eastAsia="en-AU"/>
        </w:rPr>
        <w:t>. At the</w:t>
      </w:r>
      <w:r w:rsidRPr="00E51FA9">
        <w:t xml:space="preserve"> </w:t>
      </w:r>
      <w:r w:rsidRPr="00E51FA9">
        <w:rPr>
          <w:rFonts w:asciiTheme="majorBidi" w:hAnsiTheme="majorBidi" w:cstheme="majorBidi"/>
          <w:sz w:val="24"/>
          <w:szCs w:val="24"/>
          <w:u w:color="000000"/>
          <w:lang w:eastAsia="en-AU"/>
        </w:rPr>
        <w:t xml:space="preserve">State level the Office of the Public Advocate and Victorian Ombudsman have prepared reports </w:t>
      </w:r>
      <w:r w:rsidR="00D24D3F">
        <w:rPr>
          <w:rFonts w:asciiTheme="majorBidi" w:hAnsiTheme="majorBidi" w:cstheme="majorBidi"/>
          <w:sz w:val="24"/>
          <w:szCs w:val="24"/>
          <w:u w:color="000000"/>
          <w:lang w:eastAsia="en-AU"/>
        </w:rPr>
        <w:t xml:space="preserve">(Victorian Ombudsman, 2015) </w:t>
      </w:r>
      <w:r w:rsidRPr="00E51FA9">
        <w:rPr>
          <w:rFonts w:asciiTheme="majorBidi" w:hAnsiTheme="majorBidi" w:cstheme="majorBidi"/>
          <w:sz w:val="24"/>
          <w:szCs w:val="24"/>
          <w:u w:color="000000"/>
          <w:lang w:eastAsia="en-AU"/>
        </w:rPr>
        <w:t>and most recently the Family and Community Development Committee of the Victorian Parliament conducted an inquiry into the abuse in disability services (</w:t>
      </w:r>
      <w:r w:rsidR="00D24D3F">
        <w:rPr>
          <w:rFonts w:asciiTheme="majorBidi" w:hAnsiTheme="majorBidi" w:cstheme="majorBidi"/>
          <w:sz w:val="24"/>
          <w:szCs w:val="24"/>
          <w:u w:color="000000"/>
          <w:lang w:eastAsia="en-AU"/>
        </w:rPr>
        <w:t xml:space="preserve">Parliament of Victoria, </w:t>
      </w:r>
      <w:r w:rsidRPr="00E51FA9">
        <w:rPr>
          <w:rFonts w:asciiTheme="majorBidi" w:hAnsiTheme="majorBidi" w:cstheme="majorBidi"/>
          <w:sz w:val="24"/>
          <w:szCs w:val="24"/>
          <w:u w:color="000000"/>
          <w:lang w:eastAsia="en-AU"/>
        </w:rPr>
        <w:t xml:space="preserve">2016). </w:t>
      </w:r>
    </w:p>
    <w:p w14:paraId="1DA02D62" w14:textId="05F161F9" w:rsidR="00AB6044" w:rsidRPr="00E51FA9" w:rsidRDefault="00AB6044" w:rsidP="00AB6044">
      <w:pPr>
        <w:autoSpaceDE w:val="0"/>
        <w:autoSpaceDN w:val="0"/>
        <w:adjustRightInd w:val="0"/>
        <w:spacing w:after="120" w:line="360" w:lineRule="auto"/>
      </w:pPr>
      <w:r w:rsidRPr="00E51FA9">
        <w:rPr>
          <w:sz w:val="24"/>
          <w:szCs w:val="24"/>
        </w:rPr>
        <w:t>Service standards and procedural guidelines for prevention, responding and reporting abuse and neglect have been developed by federal and state government departments responsible for the funding and monitoring of disability services. While there are national standards for disability services, monitoring and other regulatory mechanisms differ in each jurisdiction, making it difficult to gain an overall picture. This is likely to change with the full roll out of the National Disability Insurance</w:t>
      </w:r>
      <w:r w:rsidR="006753FB">
        <w:rPr>
          <w:sz w:val="24"/>
          <w:szCs w:val="24"/>
        </w:rPr>
        <w:t xml:space="preserve"> (NDIS)</w:t>
      </w:r>
      <w:r w:rsidRPr="00E51FA9">
        <w:rPr>
          <w:sz w:val="24"/>
          <w:szCs w:val="24"/>
        </w:rPr>
        <w:t xml:space="preserve"> scheme in 2020 and development of a national quality and safeguarding framework. However, in most jurisdictions disability service providers are regularly audited against the Standards, and receive clear information to guide the development of their own service-specific policies and procedures. Such policies generally follow a similar framework addressing the three tiers of prevention but tend to focus on managerial compliance to procedures and paperwork with little attention to direct observation or evaluation of care practices (McEwan et al., 2014). It has been suggested that this approach may shift the focus of attention from individual outcomes (such as protection from abuse) to compliance, prioritising the management of systems over the meeting of individual need (Di Rita et al., 2008; Goggin &amp; Newell, 2005; </w:t>
      </w:r>
      <w:r w:rsidR="006753FB" w:rsidRPr="00E51FA9">
        <w:rPr>
          <w:sz w:val="24"/>
          <w:szCs w:val="24"/>
        </w:rPr>
        <w:t>Robinson, 2013</w:t>
      </w:r>
      <w:r w:rsidR="006753FB">
        <w:rPr>
          <w:sz w:val="24"/>
          <w:szCs w:val="24"/>
        </w:rPr>
        <w:t xml:space="preserve">; </w:t>
      </w:r>
      <w:r w:rsidRPr="00E51FA9">
        <w:rPr>
          <w:sz w:val="24"/>
          <w:szCs w:val="24"/>
        </w:rPr>
        <w:t>Robinson &amp; Chenoweth, 2011;</w:t>
      </w:r>
      <w:r w:rsidR="00004D91">
        <w:rPr>
          <w:sz w:val="24"/>
          <w:szCs w:val="24"/>
        </w:rPr>
        <w:t xml:space="preserve"> 2012</w:t>
      </w:r>
      <w:r w:rsidRPr="00E51FA9">
        <w:rPr>
          <w:sz w:val="24"/>
          <w:szCs w:val="24"/>
        </w:rPr>
        <w:t>).</w:t>
      </w:r>
      <w:r w:rsidRPr="00E51FA9">
        <w:t xml:space="preserve"> </w:t>
      </w:r>
    </w:p>
    <w:p w14:paraId="39A8F5B6" w14:textId="71EFA427" w:rsidR="00F65473" w:rsidRPr="00E51FA9" w:rsidRDefault="00AB6044" w:rsidP="00AB6044">
      <w:pPr>
        <w:autoSpaceDE w:val="0"/>
        <w:autoSpaceDN w:val="0"/>
        <w:adjustRightInd w:val="0"/>
        <w:spacing w:after="120" w:line="360" w:lineRule="auto"/>
        <w:rPr>
          <w:sz w:val="24"/>
          <w:szCs w:val="24"/>
        </w:rPr>
      </w:pPr>
      <w:r w:rsidRPr="00E51FA9">
        <w:rPr>
          <w:sz w:val="24"/>
          <w:szCs w:val="24"/>
        </w:rPr>
        <w:t xml:space="preserve">In the current era policy makers, advocates, funders and other stakeholders have recognised the need to conduct rigorous evaluation of abuse prevention strategies in </w:t>
      </w:r>
      <w:r w:rsidR="00F54A3F" w:rsidRPr="00E51FA9">
        <w:rPr>
          <w:sz w:val="24"/>
          <w:szCs w:val="24"/>
        </w:rPr>
        <w:t>order to</w:t>
      </w:r>
      <w:r w:rsidRPr="00E51FA9">
        <w:rPr>
          <w:sz w:val="24"/>
          <w:szCs w:val="24"/>
        </w:rPr>
        <w:t xml:space="preserve"> establish the effectiveness </w:t>
      </w:r>
      <w:r w:rsidR="00F54A3F" w:rsidRPr="00E51FA9">
        <w:rPr>
          <w:sz w:val="24"/>
          <w:szCs w:val="24"/>
        </w:rPr>
        <w:t>and to</w:t>
      </w:r>
      <w:r w:rsidRPr="00E51FA9">
        <w:rPr>
          <w:sz w:val="24"/>
          <w:szCs w:val="24"/>
        </w:rPr>
        <w:t xml:space="preserve"> advance evidence-based practice in this field (Northway et al., 2007; Perry, 2004; Quarmby, 2011; Robinson &amp; Chenoweth, 2011</w:t>
      </w:r>
      <w:r w:rsidR="00004D91">
        <w:rPr>
          <w:sz w:val="24"/>
          <w:szCs w:val="24"/>
        </w:rPr>
        <w:t>; 2012</w:t>
      </w:r>
      <w:r w:rsidRPr="00E51FA9">
        <w:rPr>
          <w:sz w:val="24"/>
          <w:szCs w:val="24"/>
        </w:rPr>
        <w:t>).</w:t>
      </w:r>
    </w:p>
    <w:p w14:paraId="1B69402C" w14:textId="77777777" w:rsidR="00AB6044" w:rsidRPr="00F1368D" w:rsidRDefault="00AB6044" w:rsidP="0019074D">
      <w:pPr>
        <w:autoSpaceDE w:val="0"/>
        <w:autoSpaceDN w:val="0"/>
        <w:adjustRightInd w:val="0"/>
        <w:spacing w:after="120" w:line="360" w:lineRule="auto"/>
        <w:outlineLvl w:val="0"/>
        <w:rPr>
          <w:rFonts w:asciiTheme="majorBidi" w:hAnsiTheme="majorBidi" w:cstheme="majorBidi"/>
          <w:b/>
          <w:i/>
          <w:sz w:val="24"/>
          <w:szCs w:val="24"/>
          <w:u w:color="000000"/>
          <w:lang w:eastAsia="en-AU"/>
        </w:rPr>
      </w:pPr>
      <w:r w:rsidRPr="00F1368D">
        <w:rPr>
          <w:rFonts w:asciiTheme="majorBidi" w:hAnsiTheme="majorBidi" w:cstheme="majorBidi"/>
          <w:b/>
          <w:i/>
          <w:sz w:val="24"/>
          <w:szCs w:val="24"/>
          <w:u w:color="000000"/>
          <w:lang w:eastAsia="en-AU"/>
        </w:rPr>
        <w:t xml:space="preserve">Evaluation of prevention strategies </w:t>
      </w:r>
    </w:p>
    <w:p w14:paraId="2FCFA550" w14:textId="1282A074" w:rsidR="00AB6044" w:rsidRPr="00E51FA9" w:rsidRDefault="00F54A3F" w:rsidP="00AB6044">
      <w:p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 xml:space="preserve">Evaluation allows the effectiveness of intervention strategies to be measured, and is important for determining whether an intervention is of benefit to participants (Holzer et al., 2006). </w:t>
      </w:r>
      <w:r w:rsidR="00AB6044" w:rsidRPr="00E51FA9">
        <w:rPr>
          <w:rFonts w:asciiTheme="majorBidi" w:hAnsiTheme="majorBidi" w:cstheme="majorBidi"/>
          <w:sz w:val="24"/>
          <w:szCs w:val="24"/>
          <w:u w:color="000000"/>
          <w:lang w:eastAsia="en-AU"/>
        </w:rPr>
        <w:t xml:space="preserve">It may provide evidence for promoting “evidence-based practice” that will be increasingly required by the NDIS and be useful for service planners, practitioners and policy-makers in making decisions about public policy and program funding. </w:t>
      </w:r>
    </w:p>
    <w:p w14:paraId="4C05B2EC" w14:textId="77777777" w:rsidR="00AB6044" w:rsidRPr="00E51FA9" w:rsidRDefault="00AB6044" w:rsidP="0019074D">
      <w:pPr>
        <w:autoSpaceDE w:val="0"/>
        <w:autoSpaceDN w:val="0"/>
        <w:adjustRightInd w:val="0"/>
        <w:spacing w:after="120" w:line="360" w:lineRule="auto"/>
        <w:outlineLvl w:val="0"/>
        <w:rPr>
          <w:rFonts w:asciiTheme="majorBidi" w:hAnsiTheme="majorBidi" w:cstheme="majorBidi"/>
          <w:b/>
          <w:i/>
          <w:sz w:val="24"/>
          <w:szCs w:val="24"/>
          <w:lang w:eastAsia="en-AU"/>
        </w:rPr>
      </w:pPr>
      <w:r w:rsidRPr="00E51FA9">
        <w:rPr>
          <w:rFonts w:asciiTheme="majorBidi" w:hAnsiTheme="majorBidi" w:cstheme="majorBidi"/>
          <w:b/>
          <w:i/>
          <w:sz w:val="24"/>
          <w:szCs w:val="24"/>
          <w:lang w:eastAsia="en-AU"/>
        </w:rPr>
        <w:lastRenderedPageBreak/>
        <w:t>Evaluation type</w:t>
      </w:r>
    </w:p>
    <w:p w14:paraId="11ADDECE" w14:textId="77777777" w:rsidR="00AB6044" w:rsidRPr="00E51FA9" w:rsidRDefault="00AB6044" w:rsidP="00AB6044">
      <w:p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The three main types of evaluation are concerned with process, impact or outcome (</w:t>
      </w:r>
      <w:proofErr w:type="spellStart"/>
      <w:r w:rsidRPr="00E51FA9">
        <w:rPr>
          <w:rFonts w:asciiTheme="majorBidi" w:hAnsiTheme="majorBidi" w:cstheme="majorBidi"/>
          <w:sz w:val="24"/>
          <w:szCs w:val="24"/>
          <w:u w:color="000000"/>
          <w:lang w:eastAsia="en-AU"/>
        </w:rPr>
        <w:t>Tomison</w:t>
      </w:r>
      <w:proofErr w:type="spellEnd"/>
      <w:r w:rsidRPr="00E51FA9">
        <w:rPr>
          <w:rFonts w:asciiTheme="majorBidi" w:hAnsiTheme="majorBidi" w:cstheme="majorBidi"/>
          <w:sz w:val="24"/>
          <w:szCs w:val="24"/>
          <w:u w:color="000000"/>
          <w:lang w:eastAsia="en-AU"/>
        </w:rPr>
        <w:t>, 2000).</w:t>
      </w:r>
    </w:p>
    <w:p w14:paraId="56493ADC" w14:textId="3A445ECC" w:rsidR="00AB6044" w:rsidRPr="00E51FA9" w:rsidRDefault="00AB6044" w:rsidP="003929B4">
      <w:pPr>
        <w:pStyle w:val="ListParagraph"/>
        <w:numPr>
          <w:ilvl w:val="0"/>
          <w:numId w:val="36"/>
        </w:num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 xml:space="preserve">Process evaluation: explores features of the intervention such as the nature of the service offered, who is participating and who is facilitating the intervention (Hall, 2009). This type of evaluation </w:t>
      </w:r>
      <w:r w:rsidR="00987982">
        <w:rPr>
          <w:rFonts w:asciiTheme="majorBidi" w:hAnsiTheme="majorBidi" w:cstheme="majorBidi"/>
          <w:sz w:val="24"/>
          <w:szCs w:val="24"/>
          <w:u w:color="000000"/>
          <w:lang w:eastAsia="en-AU"/>
        </w:rPr>
        <w:t>may identify areas where change</w:t>
      </w:r>
      <w:r w:rsidRPr="00E51FA9">
        <w:rPr>
          <w:rFonts w:asciiTheme="majorBidi" w:hAnsiTheme="majorBidi" w:cstheme="majorBidi"/>
          <w:sz w:val="24"/>
          <w:szCs w:val="24"/>
          <w:u w:color="000000"/>
          <w:lang w:eastAsia="en-AU"/>
        </w:rPr>
        <w:t xml:space="preserve"> is needed to enhance service delivery.</w:t>
      </w:r>
    </w:p>
    <w:p w14:paraId="5263E256" w14:textId="77777777" w:rsidR="00AB6044" w:rsidRPr="00E51FA9" w:rsidRDefault="00AB6044" w:rsidP="00AB6044">
      <w:pPr>
        <w:pStyle w:val="ListParagraph"/>
        <w:numPr>
          <w:ilvl w:val="0"/>
          <w:numId w:val="30"/>
        </w:num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Impact evaluation: measures whether an intervention has an effect on participants as envisaged by its aims and objectives. For example, an impact evaluation of an abuse education intervention would assess whether participants’ knowledge had increased as a result of participating in the program.</w:t>
      </w:r>
    </w:p>
    <w:p w14:paraId="66429F95" w14:textId="77777777" w:rsidR="00317516" w:rsidRDefault="00AB6044" w:rsidP="00AB6044">
      <w:pPr>
        <w:pStyle w:val="ListParagraph"/>
        <w:numPr>
          <w:ilvl w:val="0"/>
          <w:numId w:val="30"/>
        </w:numPr>
        <w:autoSpaceDE w:val="0"/>
        <w:autoSpaceDN w:val="0"/>
        <w:adjustRightInd w:val="0"/>
        <w:spacing w:after="120" w:line="360" w:lineRule="auto"/>
        <w:rPr>
          <w:rFonts w:asciiTheme="majorBidi" w:hAnsiTheme="majorBidi" w:cstheme="majorBidi"/>
          <w:sz w:val="24"/>
          <w:szCs w:val="24"/>
          <w:u w:color="000000"/>
          <w:lang w:eastAsia="en-AU"/>
        </w:rPr>
      </w:pPr>
      <w:r w:rsidRPr="00E51FA9">
        <w:rPr>
          <w:rFonts w:asciiTheme="majorBidi" w:hAnsiTheme="majorBidi" w:cstheme="majorBidi"/>
          <w:sz w:val="24"/>
          <w:szCs w:val="24"/>
          <w:u w:color="000000"/>
          <w:lang w:eastAsia="en-AU"/>
        </w:rPr>
        <w:t xml:space="preserve">Outcome evaluation: assesses the long-term effectiveness of a program of intervention. </w:t>
      </w:r>
    </w:p>
    <w:p w14:paraId="5CEEE3F8" w14:textId="4EE952AF" w:rsidR="00AB6044" w:rsidRPr="00317516" w:rsidRDefault="00AB6044" w:rsidP="00317516">
      <w:pPr>
        <w:autoSpaceDE w:val="0"/>
        <w:autoSpaceDN w:val="0"/>
        <w:adjustRightInd w:val="0"/>
        <w:spacing w:after="120" w:line="360" w:lineRule="auto"/>
        <w:rPr>
          <w:rFonts w:asciiTheme="majorBidi" w:hAnsiTheme="majorBidi" w:cstheme="majorBidi"/>
          <w:sz w:val="24"/>
          <w:szCs w:val="24"/>
          <w:u w:color="000000"/>
          <w:lang w:eastAsia="en-AU"/>
        </w:rPr>
      </w:pPr>
      <w:r w:rsidRPr="00317516">
        <w:rPr>
          <w:rFonts w:asciiTheme="majorBidi" w:hAnsiTheme="majorBidi" w:cstheme="majorBidi"/>
          <w:sz w:val="24"/>
          <w:szCs w:val="24"/>
          <w:u w:color="000000"/>
          <w:lang w:eastAsia="en-AU"/>
        </w:rPr>
        <w:t xml:space="preserve">The difference between an impact and an outcome evaluation is that an impact evaluation looks at direct or immediate aims of an intervention, such as improving knowledge or skills, whereas an outcome evaluation considers the underlying goals, such as reduced incidence and prevalence of abuse in accommodation services (Holzer et al., 2006; </w:t>
      </w:r>
      <w:r w:rsidR="006753FB">
        <w:rPr>
          <w:rFonts w:asciiTheme="majorBidi" w:hAnsiTheme="majorBidi" w:cstheme="majorBidi"/>
          <w:sz w:val="24"/>
          <w:szCs w:val="24"/>
          <w:u w:color="000000"/>
          <w:lang w:eastAsia="en-AU"/>
        </w:rPr>
        <w:t xml:space="preserve">Holzer, </w:t>
      </w:r>
      <w:r w:rsidRPr="00317516">
        <w:rPr>
          <w:rFonts w:asciiTheme="majorBidi" w:hAnsiTheme="majorBidi" w:cstheme="majorBidi"/>
          <w:sz w:val="24"/>
          <w:szCs w:val="24"/>
          <w:u w:color="000000"/>
          <w:lang w:eastAsia="en-AU"/>
        </w:rPr>
        <w:t xml:space="preserve">2007).  </w:t>
      </w:r>
    </w:p>
    <w:p w14:paraId="53AC7C0E" w14:textId="24C3159B" w:rsidR="00AB6044" w:rsidRPr="00E51FA9" w:rsidRDefault="00AB6044" w:rsidP="00AB6044">
      <w:pPr>
        <w:autoSpaceDE w:val="0"/>
        <w:autoSpaceDN w:val="0"/>
        <w:adjustRightInd w:val="0"/>
        <w:spacing w:after="120" w:line="360" w:lineRule="auto"/>
        <w:rPr>
          <w:rFonts w:asciiTheme="majorBidi" w:hAnsiTheme="majorBidi" w:cstheme="majorBidi"/>
          <w:b/>
          <w:bCs/>
          <w:sz w:val="24"/>
          <w:szCs w:val="24"/>
          <w:lang w:bidi="he-IL"/>
        </w:rPr>
      </w:pPr>
      <w:r w:rsidRPr="00E51FA9">
        <w:rPr>
          <w:rFonts w:asciiTheme="majorBidi" w:hAnsiTheme="majorBidi" w:cstheme="majorBidi"/>
          <w:sz w:val="24"/>
          <w:szCs w:val="24"/>
          <w:u w:color="000000"/>
          <w:lang w:eastAsia="en-AU"/>
        </w:rPr>
        <w:t xml:space="preserve">In the following section, we </w:t>
      </w:r>
      <w:r w:rsidR="00317516">
        <w:rPr>
          <w:rFonts w:asciiTheme="majorBidi" w:hAnsiTheme="majorBidi" w:cstheme="majorBidi"/>
          <w:sz w:val="24"/>
          <w:szCs w:val="24"/>
          <w:u w:color="000000"/>
          <w:lang w:eastAsia="en-AU"/>
        </w:rPr>
        <w:t xml:space="preserve">describe </w:t>
      </w:r>
      <w:r w:rsidRPr="00E51FA9">
        <w:rPr>
          <w:rFonts w:asciiTheme="majorBidi" w:hAnsiTheme="majorBidi" w:cstheme="majorBidi"/>
          <w:sz w:val="24"/>
          <w:szCs w:val="24"/>
          <w:u w:color="000000"/>
          <w:lang w:eastAsia="en-AU"/>
        </w:rPr>
        <w:t>the method and findings of a systematic scoping review of the national and international literature on the evaluation of abuse prevention strategies</w:t>
      </w:r>
      <w:bookmarkEnd w:id="1"/>
      <w:r w:rsidRPr="00E51FA9">
        <w:rPr>
          <w:rFonts w:asciiTheme="majorBidi" w:hAnsiTheme="majorBidi" w:cstheme="majorBidi"/>
          <w:sz w:val="24"/>
          <w:szCs w:val="24"/>
          <w:u w:color="000000"/>
          <w:lang w:eastAsia="en-AU"/>
        </w:rPr>
        <w:t>.</w:t>
      </w:r>
    </w:p>
    <w:p w14:paraId="1B20128F" w14:textId="77777777" w:rsidR="00AB6044" w:rsidRPr="00E51FA9" w:rsidRDefault="00AB6044" w:rsidP="0019074D">
      <w:pPr>
        <w:autoSpaceDE w:val="0"/>
        <w:autoSpaceDN w:val="0"/>
        <w:adjustRightInd w:val="0"/>
        <w:spacing w:after="120" w:line="360" w:lineRule="auto"/>
        <w:outlineLvl w:val="0"/>
        <w:rPr>
          <w:b/>
          <w:sz w:val="24"/>
          <w:szCs w:val="24"/>
          <w:lang w:bidi="he-IL"/>
        </w:rPr>
      </w:pPr>
      <w:r w:rsidRPr="00E51FA9">
        <w:rPr>
          <w:b/>
          <w:sz w:val="24"/>
          <w:szCs w:val="24"/>
          <w:lang w:bidi="he-IL"/>
        </w:rPr>
        <w:t>Systematic scoping review of abuse prevention interventions</w:t>
      </w:r>
    </w:p>
    <w:p w14:paraId="3874B9E3" w14:textId="77777777" w:rsidR="00AB6044" w:rsidRPr="00E51FA9" w:rsidRDefault="00AB6044" w:rsidP="0019074D">
      <w:pPr>
        <w:spacing w:after="120" w:line="360" w:lineRule="auto"/>
        <w:outlineLvl w:val="0"/>
        <w:rPr>
          <w:b/>
          <w:bCs/>
          <w:sz w:val="24"/>
          <w:szCs w:val="24"/>
        </w:rPr>
      </w:pPr>
      <w:r w:rsidRPr="00E51FA9">
        <w:rPr>
          <w:b/>
          <w:bCs/>
          <w:i/>
          <w:sz w:val="24"/>
          <w:szCs w:val="24"/>
        </w:rPr>
        <w:t>Method</w:t>
      </w:r>
    </w:p>
    <w:p w14:paraId="710C0D4F" w14:textId="155F84C7" w:rsidR="00AB6044" w:rsidRPr="00E51FA9" w:rsidRDefault="00AB6044" w:rsidP="00AB6044">
      <w:pPr>
        <w:spacing w:after="120" w:line="360" w:lineRule="auto"/>
        <w:rPr>
          <w:sz w:val="24"/>
          <w:szCs w:val="24"/>
        </w:rPr>
      </w:pPr>
      <w:bookmarkStart w:id="12" w:name="_Hlk494267147"/>
      <w:r w:rsidRPr="00E51FA9">
        <w:rPr>
          <w:sz w:val="24"/>
          <w:szCs w:val="24"/>
        </w:rPr>
        <w:t>Scoping reviews provide a systematic method for mapping the breadth of existing research literature on an emerging topic of interest where high quality evidence may be limited (Arksey &amp; O’Malley, 2005; McKinstry et al., 2014). To identify relevant studies in the area of abuse prevention interventions, a systematic search was undertaken of seven databases; MEDLINE, ProQuest Social Science and Humanities, PsychInfo, Social Services Abstracts, Sociological Abstracts and Google Scholar. The search used the various terms that refer to intellectual disability</w:t>
      </w:r>
      <w:r w:rsidR="008D0EEB">
        <w:rPr>
          <w:sz w:val="24"/>
          <w:szCs w:val="24"/>
        </w:rPr>
        <w:t xml:space="preserve">: </w:t>
      </w:r>
      <w:r w:rsidRPr="00E51FA9">
        <w:rPr>
          <w:sz w:val="24"/>
          <w:szCs w:val="24"/>
        </w:rPr>
        <w:t>learning disability, developmental disability, cognitive impairment and mental retardation; the research phenomena: sexual abuse, psychological abuse, financial abuse, service abuse, physical abuse, abuse, violence, assault; and prevention</w:t>
      </w:r>
      <w:r w:rsidR="008D0EEB">
        <w:rPr>
          <w:sz w:val="24"/>
          <w:szCs w:val="24"/>
        </w:rPr>
        <w:t xml:space="preserve"> strategies</w:t>
      </w:r>
      <w:r w:rsidRPr="00E51FA9">
        <w:rPr>
          <w:sz w:val="24"/>
          <w:szCs w:val="24"/>
        </w:rPr>
        <w:t xml:space="preserve">: prevention, intervention, training, services. </w:t>
      </w:r>
    </w:p>
    <w:p w14:paraId="7667735A" w14:textId="3B5E0749" w:rsidR="00AB6044" w:rsidRPr="00E51FA9" w:rsidRDefault="00AB6044" w:rsidP="00AB6044">
      <w:pPr>
        <w:spacing w:after="120" w:line="360" w:lineRule="auto"/>
        <w:rPr>
          <w:sz w:val="24"/>
          <w:szCs w:val="24"/>
        </w:rPr>
      </w:pPr>
      <w:r w:rsidRPr="00E51FA9">
        <w:rPr>
          <w:bCs/>
          <w:sz w:val="24"/>
          <w:szCs w:val="24"/>
        </w:rPr>
        <w:t xml:space="preserve">Inclusion criteria were that </w:t>
      </w:r>
      <w:r w:rsidR="004073F5" w:rsidRPr="00E51FA9">
        <w:rPr>
          <w:sz w:val="24"/>
          <w:szCs w:val="24"/>
        </w:rPr>
        <w:t xml:space="preserve">an article </w:t>
      </w:r>
      <w:r w:rsidR="00F54A3F" w:rsidRPr="00E51FA9">
        <w:rPr>
          <w:sz w:val="24"/>
          <w:szCs w:val="24"/>
        </w:rPr>
        <w:t>met the</w:t>
      </w:r>
      <w:r w:rsidRPr="00E51FA9">
        <w:rPr>
          <w:sz w:val="24"/>
          <w:szCs w:val="24"/>
        </w:rPr>
        <w:t xml:space="preserve"> following criteria:</w:t>
      </w:r>
    </w:p>
    <w:p w14:paraId="79C13402" w14:textId="77777777" w:rsidR="00AB6044" w:rsidRPr="00E51FA9" w:rsidRDefault="00AB6044" w:rsidP="00AB6044">
      <w:pPr>
        <w:pStyle w:val="ListParagraph"/>
        <w:numPr>
          <w:ilvl w:val="0"/>
          <w:numId w:val="33"/>
        </w:numPr>
        <w:spacing w:after="120" w:line="360" w:lineRule="auto"/>
        <w:rPr>
          <w:rFonts w:ascii="Times New Roman" w:hAnsi="Times New Roman"/>
          <w:sz w:val="24"/>
          <w:szCs w:val="24"/>
        </w:rPr>
      </w:pPr>
      <w:r w:rsidRPr="00E51FA9">
        <w:rPr>
          <w:rFonts w:ascii="Times New Roman" w:hAnsi="Times New Roman"/>
          <w:sz w:val="24"/>
          <w:szCs w:val="24"/>
        </w:rPr>
        <w:t>Published between January 2007 to 2017</w:t>
      </w:r>
    </w:p>
    <w:p w14:paraId="03F53BB9" w14:textId="77777777" w:rsidR="00AB6044" w:rsidRPr="00E51FA9" w:rsidRDefault="00AB6044" w:rsidP="00AB6044">
      <w:pPr>
        <w:pStyle w:val="ListParagraph"/>
        <w:numPr>
          <w:ilvl w:val="0"/>
          <w:numId w:val="33"/>
        </w:numPr>
        <w:spacing w:after="120" w:line="360" w:lineRule="auto"/>
        <w:rPr>
          <w:rFonts w:ascii="Times New Roman" w:hAnsi="Times New Roman"/>
          <w:sz w:val="24"/>
          <w:szCs w:val="24"/>
        </w:rPr>
      </w:pPr>
      <w:r w:rsidRPr="00E51FA9">
        <w:rPr>
          <w:rFonts w:ascii="Times New Roman" w:hAnsi="Times New Roman"/>
          <w:sz w:val="24"/>
          <w:szCs w:val="24"/>
        </w:rPr>
        <w:t xml:space="preserve">Published in English. </w:t>
      </w:r>
    </w:p>
    <w:p w14:paraId="7200D995" w14:textId="504300FF" w:rsidR="00AB6044" w:rsidRPr="00E51FA9" w:rsidRDefault="008D0EEB" w:rsidP="00AB6044">
      <w:pPr>
        <w:pStyle w:val="ListParagraph"/>
        <w:numPr>
          <w:ilvl w:val="0"/>
          <w:numId w:val="33"/>
        </w:numPr>
        <w:spacing w:after="120" w:line="360" w:lineRule="auto"/>
        <w:rPr>
          <w:rFonts w:ascii="Times New Roman" w:hAnsi="Times New Roman"/>
          <w:sz w:val="24"/>
          <w:szCs w:val="24"/>
        </w:rPr>
      </w:pPr>
      <w:r>
        <w:rPr>
          <w:rFonts w:ascii="Times New Roman" w:hAnsi="Times New Roman"/>
          <w:sz w:val="24"/>
          <w:szCs w:val="24"/>
        </w:rPr>
        <w:t>Included</w:t>
      </w:r>
      <w:r w:rsidR="00AB6044" w:rsidRPr="00E51FA9">
        <w:rPr>
          <w:rFonts w:ascii="Times New Roman" w:hAnsi="Times New Roman"/>
          <w:sz w:val="24"/>
          <w:szCs w:val="24"/>
        </w:rPr>
        <w:t xml:space="preserve"> adult participants (18 years or older)</w:t>
      </w:r>
    </w:p>
    <w:p w14:paraId="25A81DDE" w14:textId="0D02E5DB" w:rsidR="00AB6044" w:rsidRPr="00E51FA9" w:rsidRDefault="00AB6044" w:rsidP="00AB6044">
      <w:pPr>
        <w:pStyle w:val="ListParagraph"/>
        <w:numPr>
          <w:ilvl w:val="0"/>
          <w:numId w:val="33"/>
        </w:numPr>
        <w:spacing w:after="120" w:line="360" w:lineRule="auto"/>
        <w:rPr>
          <w:rFonts w:ascii="Times New Roman" w:hAnsi="Times New Roman"/>
          <w:sz w:val="24"/>
          <w:szCs w:val="24"/>
        </w:rPr>
      </w:pPr>
      <w:r w:rsidRPr="00E51FA9">
        <w:rPr>
          <w:rFonts w:ascii="Times New Roman" w:hAnsi="Times New Roman"/>
          <w:sz w:val="24"/>
          <w:szCs w:val="24"/>
        </w:rPr>
        <w:lastRenderedPageBreak/>
        <w:t>Include</w:t>
      </w:r>
      <w:r w:rsidR="008D0EEB">
        <w:rPr>
          <w:rFonts w:ascii="Times New Roman" w:hAnsi="Times New Roman"/>
          <w:sz w:val="24"/>
          <w:szCs w:val="24"/>
        </w:rPr>
        <w:t>d</w:t>
      </w:r>
      <w:r w:rsidRPr="00E51FA9">
        <w:rPr>
          <w:rFonts w:ascii="Times New Roman" w:hAnsi="Times New Roman"/>
          <w:sz w:val="24"/>
          <w:szCs w:val="24"/>
        </w:rPr>
        <w:t xml:space="preserve"> original </w:t>
      </w:r>
      <w:r w:rsidR="008D0EEB">
        <w:rPr>
          <w:rFonts w:ascii="Times New Roman" w:hAnsi="Times New Roman"/>
          <w:sz w:val="24"/>
          <w:szCs w:val="24"/>
        </w:rPr>
        <w:t xml:space="preserve">empirical </w:t>
      </w:r>
      <w:r w:rsidRPr="00E51FA9">
        <w:rPr>
          <w:rFonts w:ascii="Times New Roman" w:hAnsi="Times New Roman"/>
          <w:sz w:val="24"/>
          <w:szCs w:val="24"/>
        </w:rPr>
        <w:t>data</w:t>
      </w:r>
    </w:p>
    <w:p w14:paraId="3D8EA77D" w14:textId="4338CB2A" w:rsidR="00AB6044" w:rsidRPr="00E51FA9" w:rsidRDefault="00AB6044" w:rsidP="003929B4">
      <w:pPr>
        <w:pStyle w:val="ListParagraph"/>
        <w:numPr>
          <w:ilvl w:val="0"/>
          <w:numId w:val="33"/>
        </w:numPr>
        <w:spacing w:after="120" w:line="360" w:lineRule="auto"/>
        <w:rPr>
          <w:sz w:val="24"/>
          <w:szCs w:val="24"/>
        </w:rPr>
      </w:pPr>
      <w:r w:rsidRPr="00E51FA9">
        <w:rPr>
          <w:rFonts w:ascii="Times New Roman" w:hAnsi="Times New Roman"/>
          <w:sz w:val="24"/>
          <w:szCs w:val="24"/>
        </w:rPr>
        <w:t>Include</w:t>
      </w:r>
      <w:r w:rsidR="008D0EEB">
        <w:rPr>
          <w:rFonts w:ascii="Times New Roman" w:hAnsi="Times New Roman"/>
          <w:sz w:val="24"/>
          <w:szCs w:val="24"/>
        </w:rPr>
        <w:t>d</w:t>
      </w:r>
      <w:r w:rsidRPr="00E51FA9">
        <w:rPr>
          <w:rFonts w:ascii="Times New Roman" w:hAnsi="Times New Roman"/>
          <w:sz w:val="24"/>
          <w:szCs w:val="24"/>
        </w:rPr>
        <w:t xml:space="preserve"> a detailed description of abuse prevention intervention for people with intellectual disability. </w:t>
      </w:r>
    </w:p>
    <w:p w14:paraId="24BC3816" w14:textId="13CCF539" w:rsidR="00AB6044" w:rsidRPr="00E51FA9" w:rsidRDefault="00AB6044" w:rsidP="00AB6044">
      <w:pPr>
        <w:spacing w:after="60" w:line="360" w:lineRule="auto"/>
        <w:rPr>
          <w:sz w:val="24"/>
          <w:szCs w:val="24"/>
        </w:rPr>
      </w:pPr>
      <w:r w:rsidRPr="00E51FA9">
        <w:rPr>
          <w:sz w:val="24"/>
          <w:szCs w:val="24"/>
        </w:rPr>
        <w:t xml:space="preserve">Abstracts (and, in some instances, full articles) were reviewed to select original studies describing and evaluating abuse prevention </w:t>
      </w:r>
      <w:r w:rsidR="008D0EEB">
        <w:rPr>
          <w:sz w:val="24"/>
          <w:szCs w:val="24"/>
        </w:rPr>
        <w:t xml:space="preserve">strategies </w:t>
      </w:r>
      <w:r w:rsidRPr="00E51FA9">
        <w:rPr>
          <w:sz w:val="24"/>
          <w:szCs w:val="24"/>
        </w:rPr>
        <w:t xml:space="preserve">for people with intellectual disabilities. In addition, citations within key papers were inspected, and a hand-search was undertaken of relevant peer-reviewed journals not included in the database search (Disability and Society, Journal of Interpersonal Violence, and Child Abuse and Neglect). Finally, a search was conducted for grey literature and research reports. </w:t>
      </w:r>
    </w:p>
    <w:p w14:paraId="63C05704" w14:textId="54F31095" w:rsidR="00AB6044" w:rsidRPr="00E51FA9" w:rsidRDefault="00AB6044" w:rsidP="00AB6044">
      <w:pPr>
        <w:spacing w:after="120" w:line="360" w:lineRule="auto"/>
        <w:rPr>
          <w:sz w:val="24"/>
          <w:szCs w:val="24"/>
        </w:rPr>
      </w:pPr>
      <w:r w:rsidRPr="00E51FA9">
        <w:rPr>
          <w:sz w:val="24"/>
          <w:szCs w:val="24"/>
        </w:rPr>
        <w:t>A</w:t>
      </w:r>
      <w:r w:rsidR="008D0EEB">
        <w:rPr>
          <w:sz w:val="24"/>
          <w:szCs w:val="24"/>
        </w:rPr>
        <w:t>s Figure 3 shows a</w:t>
      </w:r>
      <w:r w:rsidRPr="00E51FA9">
        <w:rPr>
          <w:sz w:val="24"/>
          <w:szCs w:val="24"/>
        </w:rPr>
        <w:t xml:space="preserve"> total of 141 articles where identified by title and abstract. A close reading of these reduced the overall pool to 136. After careful reading of each abstract, 109 articles were excluded as they did not mee</w:t>
      </w:r>
      <w:r w:rsidR="0081315B" w:rsidRPr="00E51FA9">
        <w:rPr>
          <w:sz w:val="24"/>
          <w:szCs w:val="24"/>
        </w:rPr>
        <w:t>t the inclusion criteria, and 2</w:t>
      </w:r>
      <w:r w:rsidR="00413E32" w:rsidRPr="00E51FA9">
        <w:rPr>
          <w:sz w:val="24"/>
          <w:szCs w:val="24"/>
        </w:rPr>
        <w:t>6</w:t>
      </w:r>
      <w:r w:rsidRPr="00E51FA9">
        <w:rPr>
          <w:sz w:val="24"/>
          <w:szCs w:val="24"/>
        </w:rPr>
        <w:t xml:space="preserve"> were discarded as either not original research, having a primary focus on children or adolescents or not relevant to the researc</w:t>
      </w:r>
      <w:r w:rsidR="00D72692" w:rsidRPr="00E51FA9">
        <w:rPr>
          <w:sz w:val="24"/>
          <w:szCs w:val="24"/>
        </w:rPr>
        <w:t xml:space="preserve">h question. The remaining </w:t>
      </w:r>
      <w:r w:rsidR="008D0EEB">
        <w:rPr>
          <w:sz w:val="24"/>
          <w:szCs w:val="24"/>
        </w:rPr>
        <w:t>6</w:t>
      </w:r>
      <w:r w:rsidR="006753FB">
        <w:rPr>
          <w:sz w:val="24"/>
          <w:szCs w:val="24"/>
        </w:rPr>
        <w:t xml:space="preserve"> </w:t>
      </w:r>
      <w:r w:rsidR="00F54A3F" w:rsidRPr="00E51FA9">
        <w:rPr>
          <w:sz w:val="24"/>
          <w:szCs w:val="24"/>
        </w:rPr>
        <w:t>papers</w:t>
      </w:r>
      <w:r w:rsidRPr="00E51FA9">
        <w:rPr>
          <w:sz w:val="24"/>
          <w:szCs w:val="24"/>
        </w:rPr>
        <w:t xml:space="preserve"> which are summarised in Table 1, met the required criteria. The context of </w:t>
      </w:r>
      <w:r w:rsidR="008D0EEB">
        <w:rPr>
          <w:sz w:val="24"/>
          <w:szCs w:val="24"/>
        </w:rPr>
        <w:t xml:space="preserve">each </w:t>
      </w:r>
      <w:r w:rsidRPr="00E51FA9">
        <w:rPr>
          <w:sz w:val="24"/>
          <w:szCs w:val="24"/>
        </w:rPr>
        <w:t xml:space="preserve">paper was summarised, and data extracted from each included study on number and characteristics of participants in the intervention and control groups (if available); type of abuse or violence it aimed to prevent; type of intervention (method of delivery; content), study design and outcomes evaluation. </w:t>
      </w:r>
    </w:p>
    <w:p w14:paraId="26695324" w14:textId="4C1D87BD" w:rsidR="00097C9B" w:rsidRPr="00E51FA9" w:rsidRDefault="00097C9B">
      <w:pPr>
        <w:spacing w:after="200" w:line="276" w:lineRule="auto"/>
        <w:rPr>
          <w:i/>
          <w:iCs/>
          <w:sz w:val="22"/>
          <w:szCs w:val="22"/>
        </w:rPr>
      </w:pPr>
      <w:r w:rsidRPr="00E51FA9">
        <w:rPr>
          <w:i/>
          <w:iCs/>
          <w:sz w:val="22"/>
          <w:szCs w:val="22"/>
        </w:rPr>
        <w:br w:type="page"/>
      </w:r>
    </w:p>
    <w:bookmarkEnd w:id="12"/>
    <w:p w14:paraId="23ED3999" w14:textId="77777777" w:rsidR="00A44B87" w:rsidRPr="00E51FA9" w:rsidRDefault="00A44B87" w:rsidP="00A44B87">
      <w:pPr>
        <w:spacing w:after="120"/>
        <w:rPr>
          <w:i/>
          <w:iCs/>
          <w:sz w:val="22"/>
          <w:szCs w:val="22"/>
        </w:rPr>
      </w:pPr>
    </w:p>
    <w:p w14:paraId="31A74BFE" w14:textId="77777777" w:rsidR="00A44B87" w:rsidRPr="00E51FA9" w:rsidRDefault="00A44B87" w:rsidP="00A44B87">
      <w:pPr>
        <w:spacing w:after="120" w:line="360" w:lineRule="auto"/>
        <w:rPr>
          <w:sz w:val="24"/>
          <w:szCs w:val="24"/>
        </w:rPr>
      </w:pPr>
      <w:r w:rsidRPr="00E51FA9">
        <w:rPr>
          <w:noProof/>
          <w:sz w:val="24"/>
          <w:szCs w:val="24"/>
          <w:lang w:eastAsia="en-AU"/>
        </w:rPr>
        <mc:AlternateContent>
          <mc:Choice Requires="wps">
            <w:drawing>
              <wp:anchor distT="36576" distB="36576" distL="36576" distR="36576" simplePos="0" relativeHeight="251696128" behindDoc="0" locked="0" layoutInCell="1" allowOverlap="1" wp14:anchorId="7A1B26C9" wp14:editId="7EABF336">
                <wp:simplePos x="0" y="0"/>
                <wp:positionH relativeFrom="column">
                  <wp:posOffset>2397557</wp:posOffset>
                </wp:positionH>
                <wp:positionV relativeFrom="paragraph">
                  <wp:posOffset>3013862</wp:posOffset>
                </wp:positionV>
                <wp:extent cx="74346" cy="548640"/>
                <wp:effectExtent l="57150" t="0" r="20955" b="60960"/>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346" cy="5486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type w14:anchorId="3E68863D" id="_x0000_t32" coordsize="21600,21600" o:spt="32" o:oned="t" path="m,l21600,21600e" filled="f">
                <v:path arrowok="t" fillok="f" o:connecttype="none"/>
                <o:lock v:ext="edit" shapetype="t"/>
              </v:shapetype>
              <v:shape id="AutoShape 17" o:spid="_x0000_s1026" type="#_x0000_t32" style="position:absolute;margin-left:188.8pt;margin-top:237.3pt;width:5.85pt;height:43.2pt;flip:x;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">
                <v:stroke endarrow="block"/>
                <v:shadow color="#ccc"/>
              </v:shape>
            </w:pict>
          </mc:Fallback>
        </mc:AlternateContent>
      </w:r>
      <w:r w:rsidRPr="00E51FA9">
        <w:rPr>
          <w:noProof/>
          <w:sz w:val="24"/>
          <w:szCs w:val="24"/>
          <w:lang w:eastAsia="en-AU"/>
        </w:rPr>
        <mc:AlternateContent>
          <mc:Choice Requires="wps">
            <w:drawing>
              <wp:anchor distT="0" distB="0" distL="114300" distR="114300" simplePos="0" relativeHeight="251693056" behindDoc="0" locked="0" layoutInCell="1" allowOverlap="1" wp14:anchorId="259E6B1C" wp14:editId="497FDAD3">
                <wp:simplePos x="0" y="0"/>
                <wp:positionH relativeFrom="column">
                  <wp:posOffset>1526616</wp:posOffset>
                </wp:positionH>
                <wp:positionV relativeFrom="paragraph">
                  <wp:posOffset>3591052</wp:posOffset>
                </wp:positionV>
                <wp:extent cx="1714477" cy="1022292"/>
                <wp:effectExtent l="0" t="0" r="13335" b="19685"/>
                <wp:wrapTopAndBottom/>
                <wp:docPr id="19"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477" cy="1022292"/>
                        </a:xfrm>
                        <a:prstGeom prst="rect">
                          <a:avLst/>
                        </a:prstGeom>
                        <a:solidFill>
                          <a:srgbClr val="DEEAF6"/>
                        </a:solidFill>
                        <a:ln w="9525">
                          <a:solidFill>
                            <a:srgbClr val="000000"/>
                          </a:solidFill>
                          <a:miter lim="800000"/>
                          <a:headEnd/>
                          <a:tailEnd/>
                        </a:ln>
                      </wps:spPr>
                      <wps:txbx>
                        <w:txbxContent>
                          <w:p w14:paraId="427BCFFE" w14:textId="77777777" w:rsidR="00A27D0F" w:rsidRPr="00E61D40" w:rsidRDefault="00A27D0F" w:rsidP="00A44B87">
                            <w:pPr>
                              <w:jc w:val="center"/>
                              <w:rPr>
                                <w:sz w:val="22"/>
                                <w:szCs w:val="22"/>
                                <w:lang w:val="en"/>
                              </w:rPr>
                            </w:pPr>
                            <w:r w:rsidRPr="00E61D40">
                              <w:rPr>
                                <w:sz w:val="22"/>
                                <w:szCs w:val="22"/>
                              </w:rPr>
                              <w:t>Studies included in qualitative synthesis</w:t>
                            </w:r>
                            <w:r w:rsidRPr="00E61D40">
                              <w:rPr>
                                <w:sz w:val="22"/>
                                <w:szCs w:val="22"/>
                              </w:rPr>
                              <w:br/>
                              <w:t>(n =</w:t>
                            </w:r>
                            <w:r>
                              <w:rPr>
                                <w:sz w:val="22"/>
                                <w:szCs w:val="22"/>
                              </w:rPr>
                              <w:t xml:space="preserve"> 6</w:t>
                            </w:r>
                            <w:r w:rsidRPr="00E61D40">
                              <w:rPr>
                                <w:sz w:val="22"/>
                                <w:szCs w:val="22"/>
                              </w:rPr>
                              <w:t>)</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259E6B1C" id="Rectangle 15" o:spid="_x0000_s1026" style="position:absolute;margin-left:120.2pt;margin-top:282.75pt;width:135pt;height:8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" fillcolor="#deeaf6">
                <o:lock v:ext="edit" aspectratio="t"/>
                <v:textbox inset=",7.2pt,,7.2pt">
                  <w:txbxContent>
                    <w:p w14:paraId="427BCFFE" w14:textId="77777777" w:rsidR="00A27D0F" w:rsidRPr="00E61D40" w:rsidRDefault="00A27D0F" w:rsidP="00A44B87">
                      <w:pPr>
                        <w:jc w:val="center"/>
                        <w:rPr>
                          <w:sz w:val="22"/>
                          <w:szCs w:val="22"/>
                          <w:lang w:val="en"/>
                        </w:rPr>
                      </w:pPr>
                      <w:r w:rsidRPr="00E61D40">
                        <w:rPr>
                          <w:sz w:val="22"/>
                          <w:szCs w:val="22"/>
                        </w:rPr>
                        <w:t>Studies included in qualitative synthesis</w:t>
                      </w:r>
                      <w:r w:rsidRPr="00E61D40">
                        <w:rPr>
                          <w:sz w:val="22"/>
                          <w:szCs w:val="22"/>
                        </w:rPr>
                        <w:br/>
                        <w:t>(n =</w:t>
                      </w:r>
                      <w:r>
                        <w:rPr>
                          <w:sz w:val="22"/>
                          <w:szCs w:val="22"/>
                        </w:rPr>
                        <w:t xml:space="preserve"> 6</w:t>
                      </w:r>
                      <w:r w:rsidRPr="00E61D40">
                        <w:rPr>
                          <w:sz w:val="22"/>
                          <w:szCs w:val="22"/>
                        </w:rPr>
                        <w:t>)</w:t>
                      </w:r>
                    </w:p>
                  </w:txbxContent>
                </v:textbox>
                <w10:wrap type="topAndBottom"/>
              </v:rect>
            </w:pict>
          </mc:Fallback>
        </mc:AlternateContent>
      </w:r>
      <w:r w:rsidRPr="00E51FA9">
        <w:rPr>
          <w:noProof/>
          <w:sz w:val="24"/>
          <w:szCs w:val="24"/>
          <w:lang w:eastAsia="en-AU"/>
        </w:rPr>
        <mc:AlternateContent>
          <mc:Choice Requires="wps">
            <w:drawing>
              <wp:anchor distT="36576" distB="36576" distL="36576" distR="36576" simplePos="0" relativeHeight="251683840" behindDoc="0" locked="0" layoutInCell="1" allowOverlap="1" wp14:anchorId="48FABFB2" wp14:editId="5698F0D8">
                <wp:simplePos x="0" y="0"/>
                <wp:positionH relativeFrom="column">
                  <wp:posOffset>2453996</wp:posOffset>
                </wp:positionH>
                <wp:positionV relativeFrom="paragraph">
                  <wp:posOffset>1975104</wp:posOffset>
                </wp:positionV>
                <wp:extent cx="45719" cy="438912"/>
                <wp:effectExtent l="38100" t="0" r="50165" b="56515"/>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389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55A2E3BF" id="AutoShape 17" o:spid="_x0000_s1026" type="#_x0000_t32" style="position:absolute;margin-left:193.25pt;margin-top:155.5pt;width:3.6pt;height:34.55pt;flip:x;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">
                <v:stroke endarrow="block"/>
                <v:shadow color="#ccc"/>
              </v:shape>
            </w:pict>
          </mc:Fallback>
        </mc:AlternateContent>
      </w:r>
      <w:r w:rsidRPr="00E51FA9">
        <w:rPr>
          <w:noProof/>
          <w:sz w:val="24"/>
          <w:szCs w:val="24"/>
          <w:lang w:eastAsia="en-AU"/>
        </w:rPr>
        <mc:AlternateContent>
          <mc:Choice Requires="wps">
            <w:drawing>
              <wp:anchor distT="0" distB="0" distL="114300" distR="114300" simplePos="0" relativeHeight="251684864" behindDoc="0" locked="0" layoutInCell="1" allowOverlap="1" wp14:anchorId="445C7EDC" wp14:editId="2B7BA972">
                <wp:simplePos x="0" y="0"/>
                <wp:positionH relativeFrom="column">
                  <wp:posOffset>122530</wp:posOffset>
                </wp:positionH>
                <wp:positionV relativeFrom="paragraph">
                  <wp:posOffset>248717</wp:posOffset>
                </wp:positionV>
                <wp:extent cx="2228820" cy="682586"/>
                <wp:effectExtent l="0" t="0" r="32385" b="29210"/>
                <wp:wrapTopAndBottom/>
                <wp:docPr id="2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8820" cy="682586"/>
                        </a:xfrm>
                        <a:prstGeom prst="rect">
                          <a:avLst/>
                        </a:prstGeom>
                        <a:solidFill>
                          <a:srgbClr val="FFFFFF"/>
                        </a:solidFill>
                        <a:ln w="9525">
                          <a:solidFill>
                            <a:srgbClr val="000000"/>
                          </a:solidFill>
                          <a:miter lim="800000"/>
                          <a:headEnd/>
                          <a:tailEnd/>
                        </a:ln>
                      </wps:spPr>
                      <wps:txbx>
                        <w:txbxContent>
                          <w:p w14:paraId="146674F7" w14:textId="77777777" w:rsidR="00A27D0F" w:rsidRPr="00E61D40" w:rsidRDefault="00A27D0F" w:rsidP="00A44B87">
                            <w:pPr>
                              <w:jc w:val="center"/>
                              <w:rPr>
                                <w:sz w:val="22"/>
                                <w:szCs w:val="22"/>
                                <w:lang w:val="en"/>
                              </w:rPr>
                            </w:pPr>
                            <w:r w:rsidRPr="00E61D40">
                              <w:rPr>
                                <w:sz w:val="22"/>
                                <w:szCs w:val="22"/>
                              </w:rPr>
                              <w:t>Records identified thr</w:t>
                            </w:r>
                            <w:r>
                              <w:rPr>
                                <w:sz w:val="22"/>
                                <w:szCs w:val="22"/>
                              </w:rPr>
                              <w:t>ough database searching</w:t>
                            </w:r>
                            <w:r>
                              <w:rPr>
                                <w:sz w:val="22"/>
                                <w:szCs w:val="22"/>
                              </w:rPr>
                              <w:br/>
                              <w:t>(n = 136</w:t>
                            </w:r>
                            <w:r w:rsidRPr="00E61D40">
                              <w:rPr>
                                <w:sz w:val="22"/>
                                <w:szCs w:val="22"/>
                              </w:rPr>
                              <w:t>)</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445C7EDC" id="Rectangle 2" o:spid="_x0000_s1027" style="position:absolute;margin-left:9.65pt;margin-top:19.6pt;width:175.5pt;height:53.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">
                <o:lock v:ext="edit" aspectratio="t"/>
                <v:textbox inset=",7.2pt,,7.2pt">
                  <w:txbxContent>
                    <w:p w14:paraId="146674F7" w14:textId="77777777" w:rsidR="00A27D0F" w:rsidRPr="00E61D40" w:rsidRDefault="00A27D0F" w:rsidP="00A44B87">
                      <w:pPr>
                        <w:jc w:val="center"/>
                        <w:rPr>
                          <w:sz w:val="22"/>
                          <w:szCs w:val="22"/>
                          <w:lang w:val="en"/>
                        </w:rPr>
                      </w:pPr>
                      <w:r w:rsidRPr="00E61D40">
                        <w:rPr>
                          <w:sz w:val="22"/>
                          <w:szCs w:val="22"/>
                        </w:rPr>
                        <w:t>Records identified thr</w:t>
                      </w:r>
                      <w:r>
                        <w:rPr>
                          <w:sz w:val="22"/>
                          <w:szCs w:val="22"/>
                        </w:rPr>
                        <w:t>ough database searching</w:t>
                      </w:r>
                      <w:r>
                        <w:rPr>
                          <w:sz w:val="22"/>
                          <w:szCs w:val="22"/>
                        </w:rPr>
                        <w:br/>
                        <w:t>(n = 136</w:t>
                      </w:r>
                      <w:r w:rsidRPr="00E61D40">
                        <w:rPr>
                          <w:sz w:val="22"/>
                          <w:szCs w:val="22"/>
                        </w:rPr>
                        <w:t>)</w:t>
                      </w:r>
                    </w:p>
                  </w:txbxContent>
                </v:textbox>
                <w10:wrap type="topAndBottom"/>
              </v:rect>
            </w:pict>
          </mc:Fallback>
        </mc:AlternateContent>
      </w:r>
      <w:r w:rsidRPr="00E51FA9">
        <w:rPr>
          <w:noProof/>
          <w:sz w:val="24"/>
          <w:szCs w:val="24"/>
          <w:lang w:eastAsia="en-AU"/>
        </w:rPr>
        <mc:AlternateContent>
          <mc:Choice Requires="wps">
            <w:drawing>
              <wp:anchor distT="0" distB="0" distL="114300" distR="114300" simplePos="0" relativeHeight="251685888" behindDoc="0" locked="0" layoutInCell="1" allowOverlap="1" wp14:anchorId="422046FE" wp14:editId="6B504A2C">
                <wp:simplePos x="0" y="0"/>
                <wp:positionH relativeFrom="column">
                  <wp:posOffset>1380727</wp:posOffset>
                </wp:positionH>
                <wp:positionV relativeFrom="paragraph">
                  <wp:posOffset>936307</wp:posOffset>
                </wp:positionV>
                <wp:extent cx="0" cy="457174"/>
                <wp:effectExtent l="76200" t="0" r="57150" b="57785"/>
                <wp:wrapTopAndBottom/>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1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190575BD" id="AutoShape 6" o:spid="_x0000_s1026" type="#_x0000_t32" style="position:absolute;margin-left:108.7pt;margin-top:73.7pt;width:0;height:3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">
                <v:stroke endarrow="block"/>
                <v:shadow color="#ccc"/>
                <w10:wrap type="topAndBottom"/>
              </v:shape>
            </w:pict>
          </mc:Fallback>
        </mc:AlternateContent>
      </w:r>
      <w:r w:rsidRPr="00E51FA9">
        <w:rPr>
          <w:noProof/>
          <w:sz w:val="24"/>
          <w:szCs w:val="24"/>
          <w:lang w:eastAsia="en-AU"/>
        </w:rPr>
        <mc:AlternateContent>
          <mc:Choice Requires="wps">
            <w:drawing>
              <wp:anchor distT="0" distB="0" distL="114300" distR="114300" simplePos="0" relativeHeight="251686912" behindDoc="0" locked="0" layoutInCell="1" allowOverlap="1" wp14:anchorId="023A7A44" wp14:editId="187134FC">
                <wp:simplePos x="0" y="0"/>
                <wp:positionH relativeFrom="column">
                  <wp:posOffset>3670354</wp:posOffset>
                </wp:positionH>
                <wp:positionV relativeFrom="paragraph">
                  <wp:posOffset>936307</wp:posOffset>
                </wp:positionV>
                <wp:extent cx="0" cy="457174"/>
                <wp:effectExtent l="76200" t="0" r="57150" b="57785"/>
                <wp:wrapTopAndBottom/>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1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0822A914" id="AutoShape 7" o:spid="_x0000_s1026" type="#_x0000_t32" style="position:absolute;margin-left:289pt;margin-top:73.7pt;width:0;height:3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">
                <v:stroke endarrow="block"/>
                <v:shadow color="#ccc"/>
                <w10:wrap type="topAndBottom"/>
              </v:shape>
            </w:pict>
          </mc:Fallback>
        </mc:AlternateContent>
      </w:r>
      <w:r w:rsidRPr="00E51FA9">
        <w:rPr>
          <w:noProof/>
          <w:sz w:val="24"/>
          <w:szCs w:val="24"/>
          <w:lang w:eastAsia="en-AU"/>
        </w:rPr>
        <mc:AlternateContent>
          <mc:Choice Requires="wps">
            <w:drawing>
              <wp:anchor distT="0" distB="0" distL="114300" distR="114300" simplePos="0" relativeHeight="251687936" behindDoc="0" locked="0" layoutInCell="1" allowOverlap="1" wp14:anchorId="4A0A5674" wp14:editId="09A385BF">
                <wp:simplePos x="0" y="0"/>
                <wp:positionH relativeFrom="column">
                  <wp:posOffset>2690130</wp:posOffset>
                </wp:positionH>
                <wp:positionV relativeFrom="paragraph">
                  <wp:posOffset>248717</wp:posOffset>
                </wp:positionV>
                <wp:extent cx="2228820" cy="685761"/>
                <wp:effectExtent l="0" t="0" r="19685" b="19685"/>
                <wp:wrapTopAndBottom/>
                <wp:docPr id="24"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8820" cy="685761"/>
                        </a:xfrm>
                        <a:prstGeom prst="rect">
                          <a:avLst/>
                        </a:prstGeom>
                        <a:solidFill>
                          <a:srgbClr val="FFFFFF"/>
                        </a:solidFill>
                        <a:ln w="9525">
                          <a:solidFill>
                            <a:srgbClr val="000000"/>
                          </a:solidFill>
                          <a:miter lim="800000"/>
                          <a:headEnd/>
                          <a:tailEnd/>
                        </a:ln>
                      </wps:spPr>
                      <wps:txbx>
                        <w:txbxContent>
                          <w:p w14:paraId="1188B03F" w14:textId="77777777" w:rsidR="00A27D0F" w:rsidRPr="00E61D40" w:rsidRDefault="00A27D0F" w:rsidP="00A44B87">
                            <w:pPr>
                              <w:jc w:val="center"/>
                              <w:rPr>
                                <w:sz w:val="22"/>
                                <w:szCs w:val="22"/>
                                <w:lang w:val="en"/>
                              </w:rPr>
                            </w:pPr>
                            <w:r w:rsidRPr="00E61D40">
                              <w:rPr>
                                <w:sz w:val="22"/>
                                <w:szCs w:val="22"/>
                              </w:rPr>
                              <w:t>Additional records identified through other sources</w:t>
                            </w:r>
                            <w:r w:rsidRPr="00E61D40">
                              <w:rPr>
                                <w:sz w:val="22"/>
                                <w:szCs w:val="22"/>
                              </w:rPr>
                              <w:br/>
                              <w:t>(n = 17)</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4A0A5674" id="Rectangle 9" o:spid="_x0000_s1028" style="position:absolute;margin-left:211.8pt;margin-top:19.6pt;width:175.5pt;height: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">
                <o:lock v:ext="edit" aspectratio="t"/>
                <v:textbox inset=",7.2pt,,7.2pt">
                  <w:txbxContent>
                    <w:p w14:paraId="1188B03F" w14:textId="77777777" w:rsidR="00A27D0F" w:rsidRPr="00E61D40" w:rsidRDefault="00A27D0F" w:rsidP="00A44B87">
                      <w:pPr>
                        <w:jc w:val="center"/>
                        <w:rPr>
                          <w:sz w:val="22"/>
                          <w:szCs w:val="22"/>
                          <w:lang w:val="en"/>
                        </w:rPr>
                      </w:pPr>
                      <w:r w:rsidRPr="00E61D40">
                        <w:rPr>
                          <w:sz w:val="22"/>
                          <w:szCs w:val="22"/>
                        </w:rPr>
                        <w:t>Additional records identified through other sources</w:t>
                      </w:r>
                      <w:r w:rsidRPr="00E61D40">
                        <w:rPr>
                          <w:sz w:val="22"/>
                          <w:szCs w:val="22"/>
                        </w:rPr>
                        <w:br/>
                        <w:t>(n = 17)</w:t>
                      </w:r>
                    </w:p>
                  </w:txbxContent>
                </v:textbox>
                <w10:wrap type="topAndBottom"/>
              </v:rect>
            </w:pict>
          </mc:Fallback>
        </mc:AlternateContent>
      </w:r>
      <w:r w:rsidRPr="00E51FA9">
        <w:rPr>
          <w:noProof/>
          <w:sz w:val="24"/>
          <w:szCs w:val="24"/>
          <w:lang w:eastAsia="en-AU"/>
        </w:rPr>
        <mc:AlternateContent>
          <mc:Choice Requires="wps">
            <w:drawing>
              <wp:anchor distT="0" distB="0" distL="114300" distR="114300" simplePos="0" relativeHeight="251688960" behindDoc="0" locked="0" layoutInCell="1" allowOverlap="1" wp14:anchorId="614EAF8D" wp14:editId="22B192C9">
                <wp:simplePos x="0" y="0"/>
                <wp:positionH relativeFrom="column">
                  <wp:posOffset>1139328</wp:posOffset>
                </wp:positionH>
                <wp:positionV relativeFrom="paragraph">
                  <wp:posOffset>1389823</wp:posOffset>
                </wp:positionV>
                <wp:extent cx="2771737" cy="571468"/>
                <wp:effectExtent l="0" t="0" r="10160" b="19685"/>
                <wp:wrapTopAndBottom/>
                <wp:docPr id="25"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71737" cy="571468"/>
                        </a:xfrm>
                        <a:prstGeom prst="rect">
                          <a:avLst/>
                        </a:prstGeom>
                        <a:solidFill>
                          <a:srgbClr val="FFFFFF"/>
                        </a:solidFill>
                        <a:ln w="9525">
                          <a:solidFill>
                            <a:srgbClr val="000000"/>
                          </a:solidFill>
                          <a:miter lim="800000"/>
                          <a:headEnd/>
                          <a:tailEnd/>
                        </a:ln>
                      </wps:spPr>
                      <wps:txbx>
                        <w:txbxContent>
                          <w:p w14:paraId="3D26FE46" w14:textId="77777777" w:rsidR="00A27D0F" w:rsidRPr="00E61D40" w:rsidRDefault="00A27D0F" w:rsidP="00A44B87">
                            <w:pPr>
                              <w:jc w:val="center"/>
                              <w:rPr>
                                <w:sz w:val="22"/>
                                <w:szCs w:val="22"/>
                                <w:lang w:val="en"/>
                              </w:rPr>
                            </w:pPr>
                            <w:r w:rsidRPr="00E61D40">
                              <w:rPr>
                                <w:sz w:val="22"/>
                                <w:szCs w:val="22"/>
                              </w:rPr>
                              <w:t>Records after duplicates removed</w:t>
                            </w:r>
                            <w:r w:rsidRPr="00E61D40">
                              <w:rPr>
                                <w:sz w:val="22"/>
                                <w:szCs w:val="22"/>
                              </w:rPr>
                              <w:br/>
                              <w:t>(n = 141)</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614EAF8D" id="Rectangle 10" o:spid="_x0000_s1029" style="position:absolute;margin-left:89.7pt;margin-top:109.45pt;width:218.25pt;height: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">
                <o:lock v:ext="edit" aspectratio="t"/>
                <v:textbox inset=",7.2pt,,7.2pt">
                  <w:txbxContent>
                    <w:p w14:paraId="3D26FE46" w14:textId="77777777" w:rsidR="00A27D0F" w:rsidRPr="00E61D40" w:rsidRDefault="00A27D0F" w:rsidP="00A44B87">
                      <w:pPr>
                        <w:jc w:val="center"/>
                        <w:rPr>
                          <w:sz w:val="22"/>
                          <w:szCs w:val="22"/>
                          <w:lang w:val="en"/>
                        </w:rPr>
                      </w:pPr>
                      <w:r w:rsidRPr="00E61D40">
                        <w:rPr>
                          <w:sz w:val="22"/>
                          <w:szCs w:val="22"/>
                        </w:rPr>
                        <w:t>Records after duplicates removed</w:t>
                      </w:r>
                      <w:r w:rsidRPr="00E61D40">
                        <w:rPr>
                          <w:sz w:val="22"/>
                          <w:szCs w:val="22"/>
                        </w:rPr>
                        <w:br/>
                        <w:t>(n = 141)</w:t>
                      </w:r>
                    </w:p>
                  </w:txbxContent>
                </v:textbox>
                <w10:wrap type="topAndBottom"/>
              </v:rect>
            </w:pict>
          </mc:Fallback>
        </mc:AlternateContent>
      </w:r>
      <w:r w:rsidRPr="00E51FA9">
        <w:rPr>
          <w:noProof/>
          <w:sz w:val="24"/>
          <w:szCs w:val="24"/>
          <w:lang w:eastAsia="en-AU"/>
        </w:rPr>
        <mc:AlternateContent>
          <mc:Choice Requires="wps">
            <w:drawing>
              <wp:anchor distT="0" distB="0" distL="114300" distR="114300" simplePos="0" relativeHeight="251689984" behindDoc="0" locked="0" layoutInCell="1" allowOverlap="1" wp14:anchorId="1158E557" wp14:editId="1A62F68D">
                <wp:simplePos x="0" y="0"/>
                <wp:positionH relativeFrom="column">
                  <wp:posOffset>1687961</wp:posOffset>
                </wp:positionH>
                <wp:positionV relativeFrom="paragraph">
                  <wp:posOffset>2421209</wp:posOffset>
                </wp:positionV>
                <wp:extent cx="1670027" cy="571468"/>
                <wp:effectExtent l="0" t="0" r="26035" b="19685"/>
                <wp:wrapTopAndBottom/>
                <wp:docPr id="26"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0027" cy="571468"/>
                        </a:xfrm>
                        <a:prstGeom prst="rect">
                          <a:avLst/>
                        </a:prstGeom>
                        <a:solidFill>
                          <a:srgbClr val="FFFFFF"/>
                        </a:solidFill>
                        <a:ln w="9525">
                          <a:solidFill>
                            <a:srgbClr val="000000"/>
                          </a:solidFill>
                          <a:miter lim="800000"/>
                          <a:headEnd/>
                          <a:tailEnd/>
                        </a:ln>
                      </wps:spPr>
                      <wps:txbx>
                        <w:txbxContent>
                          <w:p w14:paraId="356636DB" w14:textId="77777777" w:rsidR="00A27D0F" w:rsidRPr="00E61D40" w:rsidRDefault="00A27D0F" w:rsidP="00A44B87">
                            <w:pPr>
                              <w:jc w:val="center"/>
                              <w:rPr>
                                <w:sz w:val="22"/>
                                <w:szCs w:val="22"/>
                                <w:lang w:val="en"/>
                              </w:rPr>
                            </w:pPr>
                            <w:r w:rsidRPr="00E61D40">
                              <w:rPr>
                                <w:sz w:val="22"/>
                                <w:szCs w:val="22"/>
                              </w:rPr>
                              <w:t>Records screened</w:t>
                            </w:r>
                            <w:r w:rsidRPr="00E61D40">
                              <w:rPr>
                                <w:sz w:val="22"/>
                                <w:szCs w:val="22"/>
                              </w:rPr>
                              <w:br/>
                              <w:t>(n = 32)</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1158E557" id="Rectangle 11" o:spid="_x0000_s1030" style="position:absolute;margin-left:132.9pt;margin-top:190.65pt;width:131.5pt;height: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">
                <o:lock v:ext="edit" aspectratio="t"/>
                <v:textbox inset=",7.2pt,,7.2pt">
                  <w:txbxContent>
                    <w:p w14:paraId="356636DB" w14:textId="77777777" w:rsidR="00A27D0F" w:rsidRPr="00E61D40" w:rsidRDefault="00A27D0F" w:rsidP="00A44B87">
                      <w:pPr>
                        <w:jc w:val="center"/>
                        <w:rPr>
                          <w:sz w:val="22"/>
                          <w:szCs w:val="22"/>
                          <w:lang w:val="en"/>
                        </w:rPr>
                      </w:pPr>
                      <w:r w:rsidRPr="00E61D40">
                        <w:rPr>
                          <w:sz w:val="22"/>
                          <w:szCs w:val="22"/>
                        </w:rPr>
                        <w:t>Records screened</w:t>
                      </w:r>
                      <w:r w:rsidRPr="00E61D40">
                        <w:rPr>
                          <w:sz w:val="22"/>
                          <w:szCs w:val="22"/>
                        </w:rPr>
                        <w:br/>
                        <w:t>(n = 32)</w:t>
                      </w:r>
                    </w:p>
                  </w:txbxContent>
                </v:textbox>
                <w10:wrap type="topAndBottom"/>
              </v:rect>
            </w:pict>
          </mc:Fallback>
        </mc:AlternateContent>
      </w:r>
      <w:r w:rsidRPr="00E51FA9">
        <w:rPr>
          <w:noProof/>
          <w:sz w:val="24"/>
          <w:szCs w:val="24"/>
          <w:lang w:eastAsia="en-AU"/>
        </w:rPr>
        <mc:AlternateContent>
          <mc:Choice Requires="wps">
            <w:drawing>
              <wp:anchor distT="0" distB="0" distL="114300" distR="114300" simplePos="0" relativeHeight="251691008" behindDoc="0" locked="0" layoutInCell="1" allowOverlap="1" wp14:anchorId="61993EAF" wp14:editId="4F06BA02">
                <wp:simplePos x="0" y="0"/>
                <wp:positionH relativeFrom="column">
                  <wp:posOffset>4006848</wp:posOffset>
                </wp:positionH>
                <wp:positionV relativeFrom="paragraph">
                  <wp:posOffset>2421209</wp:posOffset>
                </wp:positionV>
                <wp:extent cx="1714477" cy="571468"/>
                <wp:effectExtent l="0" t="0" r="19685" b="19685"/>
                <wp:wrapTopAndBottom/>
                <wp:docPr id="27"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477" cy="571468"/>
                        </a:xfrm>
                        <a:prstGeom prst="rect">
                          <a:avLst/>
                        </a:prstGeom>
                        <a:solidFill>
                          <a:srgbClr val="FFFFFF"/>
                        </a:solidFill>
                        <a:ln w="9525">
                          <a:solidFill>
                            <a:srgbClr val="000000"/>
                          </a:solidFill>
                          <a:miter lim="800000"/>
                          <a:headEnd/>
                          <a:tailEnd/>
                        </a:ln>
                      </wps:spPr>
                      <wps:txbx>
                        <w:txbxContent>
                          <w:p w14:paraId="6E284BC0" w14:textId="77777777" w:rsidR="00A27D0F" w:rsidRPr="00E61D40" w:rsidRDefault="00A27D0F" w:rsidP="00A44B87">
                            <w:pPr>
                              <w:jc w:val="center"/>
                              <w:rPr>
                                <w:sz w:val="22"/>
                                <w:szCs w:val="22"/>
                                <w:lang w:val="en"/>
                              </w:rPr>
                            </w:pPr>
                            <w:r w:rsidRPr="00E61D40">
                              <w:rPr>
                                <w:sz w:val="22"/>
                                <w:szCs w:val="22"/>
                              </w:rPr>
                              <w:t>Records excluded</w:t>
                            </w:r>
                            <w:r w:rsidRPr="00E61D40">
                              <w:rPr>
                                <w:sz w:val="22"/>
                                <w:szCs w:val="22"/>
                              </w:rPr>
                              <w:br/>
                              <w:t>(n =109)</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61993EAF" id="Rectangle 12" o:spid="_x0000_s1031" style="position:absolute;margin-left:315.5pt;margin-top:190.65pt;width:135pt;height: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">
                <o:lock v:ext="edit" aspectratio="t"/>
                <v:textbox inset=",7.2pt,,7.2pt">
                  <w:txbxContent>
                    <w:p w14:paraId="6E284BC0" w14:textId="77777777" w:rsidR="00A27D0F" w:rsidRPr="00E61D40" w:rsidRDefault="00A27D0F" w:rsidP="00A44B87">
                      <w:pPr>
                        <w:jc w:val="center"/>
                        <w:rPr>
                          <w:sz w:val="22"/>
                          <w:szCs w:val="22"/>
                          <w:lang w:val="en"/>
                        </w:rPr>
                      </w:pPr>
                      <w:r w:rsidRPr="00E61D40">
                        <w:rPr>
                          <w:sz w:val="22"/>
                          <w:szCs w:val="22"/>
                        </w:rPr>
                        <w:t>Records excluded</w:t>
                      </w:r>
                      <w:r w:rsidRPr="00E61D40">
                        <w:rPr>
                          <w:sz w:val="22"/>
                          <w:szCs w:val="22"/>
                        </w:rPr>
                        <w:br/>
                        <w:t>(n =109)</w:t>
                      </w:r>
                    </w:p>
                  </w:txbxContent>
                </v:textbox>
                <w10:wrap type="topAndBottom"/>
              </v:rect>
            </w:pict>
          </mc:Fallback>
        </mc:AlternateContent>
      </w:r>
      <w:r w:rsidRPr="00E51FA9">
        <w:rPr>
          <w:noProof/>
          <w:sz w:val="24"/>
          <w:szCs w:val="24"/>
          <w:lang w:eastAsia="en-AU"/>
        </w:rPr>
        <mc:AlternateContent>
          <mc:Choice Requires="wps">
            <w:drawing>
              <wp:anchor distT="0" distB="0" distL="114300" distR="114300" simplePos="0" relativeHeight="251692032" behindDoc="0" locked="0" layoutInCell="1" allowOverlap="1" wp14:anchorId="501AB0EC" wp14:editId="2B02318A">
                <wp:simplePos x="0" y="0"/>
                <wp:positionH relativeFrom="column">
                  <wp:posOffset>4006848</wp:posOffset>
                </wp:positionH>
                <wp:positionV relativeFrom="paragraph">
                  <wp:posOffset>3335557</wp:posOffset>
                </wp:positionV>
                <wp:extent cx="1714477" cy="1847745"/>
                <wp:effectExtent l="0" t="0" r="13335" b="32385"/>
                <wp:wrapTopAndBottom/>
                <wp:docPr id="28"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477" cy="1847745"/>
                        </a:xfrm>
                        <a:prstGeom prst="rect">
                          <a:avLst/>
                        </a:prstGeom>
                        <a:solidFill>
                          <a:srgbClr val="FFFFFF"/>
                        </a:solidFill>
                        <a:ln w="9525">
                          <a:solidFill>
                            <a:srgbClr val="000000"/>
                          </a:solidFill>
                          <a:miter lim="800000"/>
                          <a:headEnd/>
                          <a:tailEnd/>
                        </a:ln>
                      </wps:spPr>
                      <wps:txbx>
                        <w:txbxContent>
                          <w:p w14:paraId="5E7E37BC" w14:textId="77777777" w:rsidR="00A27D0F" w:rsidRPr="00E61D40" w:rsidRDefault="00A27D0F" w:rsidP="00A44B87">
                            <w:pPr>
                              <w:jc w:val="center"/>
                              <w:rPr>
                                <w:sz w:val="22"/>
                                <w:szCs w:val="22"/>
                              </w:rPr>
                            </w:pPr>
                            <w:r w:rsidRPr="00E61D40">
                              <w:rPr>
                                <w:sz w:val="22"/>
                                <w:szCs w:val="22"/>
                              </w:rPr>
                              <w:t>Full-text articles excluded with reasons:</w:t>
                            </w:r>
                          </w:p>
                          <w:p w14:paraId="2B2D07A8" w14:textId="77777777" w:rsidR="00A27D0F" w:rsidRPr="00E61D40" w:rsidRDefault="00A27D0F" w:rsidP="00A44B87">
                            <w:pPr>
                              <w:jc w:val="center"/>
                              <w:rPr>
                                <w:sz w:val="22"/>
                                <w:szCs w:val="22"/>
                              </w:rPr>
                            </w:pPr>
                            <w:r w:rsidRPr="00E61D40">
                              <w:rPr>
                                <w:sz w:val="22"/>
                                <w:szCs w:val="22"/>
                              </w:rPr>
                              <w:t>addressed children and adolescents,</w:t>
                            </w:r>
                          </w:p>
                          <w:p w14:paraId="798B8222" w14:textId="77777777" w:rsidR="00A27D0F" w:rsidRPr="00E61D40" w:rsidRDefault="00A27D0F" w:rsidP="00A44B87">
                            <w:pPr>
                              <w:jc w:val="center"/>
                              <w:rPr>
                                <w:sz w:val="22"/>
                                <w:szCs w:val="22"/>
                              </w:rPr>
                            </w:pPr>
                            <w:r w:rsidRPr="00E61D40">
                              <w:rPr>
                                <w:sz w:val="22"/>
                                <w:szCs w:val="22"/>
                              </w:rPr>
                              <w:t>not an original study,</w:t>
                            </w:r>
                          </w:p>
                          <w:p w14:paraId="780C44D7" w14:textId="77777777" w:rsidR="00A27D0F" w:rsidRPr="00E61D40" w:rsidRDefault="00A27D0F" w:rsidP="00A44B87">
                            <w:pPr>
                              <w:jc w:val="center"/>
                              <w:rPr>
                                <w:sz w:val="22"/>
                                <w:szCs w:val="22"/>
                              </w:rPr>
                            </w:pPr>
                            <w:r w:rsidRPr="00E61D40">
                              <w:rPr>
                                <w:sz w:val="22"/>
                                <w:szCs w:val="22"/>
                              </w:rPr>
                              <w:t>did not have intervention evaluation</w:t>
                            </w:r>
                          </w:p>
                          <w:p w14:paraId="09B9DAEE" w14:textId="77777777" w:rsidR="00A27D0F" w:rsidRPr="00E61D40" w:rsidRDefault="00A27D0F" w:rsidP="00A44B87">
                            <w:pPr>
                              <w:jc w:val="center"/>
                              <w:rPr>
                                <w:sz w:val="22"/>
                                <w:szCs w:val="22"/>
                                <w:lang w:val="en"/>
                              </w:rPr>
                            </w:pPr>
                            <w:r>
                              <w:rPr>
                                <w:sz w:val="22"/>
                                <w:szCs w:val="22"/>
                              </w:rPr>
                              <w:t xml:space="preserve"> (n = 26</w:t>
                            </w:r>
                            <w:r w:rsidRPr="00E61D40">
                              <w:rPr>
                                <w:sz w:val="22"/>
                                <w:szCs w:val="22"/>
                              </w:rPr>
                              <w:t>)</w:t>
                            </w:r>
                          </w:p>
                        </w:txbxContent>
                      </wps:txbx>
                      <wps:bodyPr rot="0" vert="horz" wrap="square" lIns="91440" tIns="91440" rIns="91440" bIns="9144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501AB0EC" id="Rectangle 14" o:spid="_x0000_s1032" style="position:absolute;margin-left:315.5pt;margin-top:262.65pt;width:135pt;height:14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">
                <o:lock v:ext="edit" aspectratio="t"/>
                <v:textbox inset=",7.2pt,,7.2pt">
                  <w:txbxContent>
                    <w:p w14:paraId="5E7E37BC" w14:textId="77777777" w:rsidR="00A27D0F" w:rsidRPr="00E61D40" w:rsidRDefault="00A27D0F" w:rsidP="00A44B87">
                      <w:pPr>
                        <w:jc w:val="center"/>
                        <w:rPr>
                          <w:sz w:val="22"/>
                          <w:szCs w:val="22"/>
                        </w:rPr>
                      </w:pPr>
                      <w:r w:rsidRPr="00E61D40">
                        <w:rPr>
                          <w:sz w:val="22"/>
                          <w:szCs w:val="22"/>
                        </w:rPr>
                        <w:t>Full-text articles excluded with reasons:</w:t>
                      </w:r>
                    </w:p>
                    <w:p w14:paraId="2B2D07A8" w14:textId="77777777" w:rsidR="00A27D0F" w:rsidRPr="00E61D40" w:rsidRDefault="00A27D0F" w:rsidP="00A44B87">
                      <w:pPr>
                        <w:jc w:val="center"/>
                        <w:rPr>
                          <w:sz w:val="22"/>
                          <w:szCs w:val="22"/>
                        </w:rPr>
                      </w:pPr>
                      <w:r w:rsidRPr="00E61D40">
                        <w:rPr>
                          <w:sz w:val="22"/>
                          <w:szCs w:val="22"/>
                        </w:rPr>
                        <w:t>addressed children and adolescents,</w:t>
                      </w:r>
                    </w:p>
                    <w:p w14:paraId="798B8222" w14:textId="77777777" w:rsidR="00A27D0F" w:rsidRPr="00E61D40" w:rsidRDefault="00A27D0F" w:rsidP="00A44B87">
                      <w:pPr>
                        <w:jc w:val="center"/>
                        <w:rPr>
                          <w:sz w:val="22"/>
                          <w:szCs w:val="22"/>
                        </w:rPr>
                      </w:pPr>
                      <w:r w:rsidRPr="00E61D40">
                        <w:rPr>
                          <w:sz w:val="22"/>
                          <w:szCs w:val="22"/>
                        </w:rPr>
                        <w:t>not an original study,</w:t>
                      </w:r>
                    </w:p>
                    <w:p w14:paraId="780C44D7" w14:textId="77777777" w:rsidR="00A27D0F" w:rsidRPr="00E61D40" w:rsidRDefault="00A27D0F" w:rsidP="00A44B87">
                      <w:pPr>
                        <w:jc w:val="center"/>
                        <w:rPr>
                          <w:sz w:val="22"/>
                          <w:szCs w:val="22"/>
                        </w:rPr>
                      </w:pPr>
                      <w:r w:rsidRPr="00E61D40">
                        <w:rPr>
                          <w:sz w:val="22"/>
                          <w:szCs w:val="22"/>
                        </w:rPr>
                        <w:t>did not have intervention evaluation</w:t>
                      </w:r>
                    </w:p>
                    <w:p w14:paraId="09B9DAEE" w14:textId="77777777" w:rsidR="00A27D0F" w:rsidRPr="00E61D40" w:rsidRDefault="00A27D0F" w:rsidP="00A44B87">
                      <w:pPr>
                        <w:jc w:val="center"/>
                        <w:rPr>
                          <w:sz w:val="22"/>
                          <w:szCs w:val="22"/>
                          <w:lang w:val="en"/>
                        </w:rPr>
                      </w:pPr>
                      <w:r>
                        <w:rPr>
                          <w:sz w:val="22"/>
                          <w:szCs w:val="22"/>
                        </w:rPr>
                        <w:t xml:space="preserve"> (n = 26</w:t>
                      </w:r>
                      <w:r w:rsidRPr="00E61D40">
                        <w:rPr>
                          <w:sz w:val="22"/>
                          <w:szCs w:val="22"/>
                        </w:rPr>
                        <w:t>)</w:t>
                      </w:r>
                    </w:p>
                  </w:txbxContent>
                </v:textbox>
                <w10:wrap type="topAndBottom"/>
              </v:rect>
            </w:pict>
          </mc:Fallback>
        </mc:AlternateContent>
      </w:r>
      <w:r w:rsidRPr="00E51FA9">
        <w:rPr>
          <w:noProof/>
          <w:sz w:val="24"/>
          <w:szCs w:val="24"/>
          <w:lang w:eastAsia="en-AU"/>
        </w:rPr>
        <mc:AlternateContent>
          <mc:Choice Requires="wps">
            <w:drawing>
              <wp:anchor distT="0" distB="0" distL="114300" distR="114300" simplePos="0" relativeHeight="251694080" behindDoc="0" locked="0" layoutInCell="1" allowOverlap="1" wp14:anchorId="0E3352E1" wp14:editId="61FF29C0">
                <wp:simplePos x="0" y="0"/>
                <wp:positionH relativeFrom="column">
                  <wp:posOffset>3736189</wp:posOffset>
                </wp:positionH>
                <wp:positionV relativeFrom="paragraph">
                  <wp:posOffset>1938432</wp:posOffset>
                </wp:positionV>
                <wp:extent cx="476244" cy="517496"/>
                <wp:effectExtent l="0" t="0" r="76835" b="54610"/>
                <wp:wrapTopAndBottom/>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44" cy="5174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19487A3B" id="AutoShape 22" o:spid="_x0000_s1026" type="#_x0000_t32" style="position:absolute;margin-left:294.2pt;margin-top:152.65pt;width:37.5pt;height:40.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">
                <v:stroke endarrow="block"/>
                <v:shadow color="#ccc"/>
                <w10:wrap type="topAndBottom"/>
              </v:shape>
            </w:pict>
          </mc:Fallback>
        </mc:AlternateContent>
      </w:r>
      <w:r w:rsidRPr="00E51FA9">
        <w:rPr>
          <w:noProof/>
          <w:sz w:val="24"/>
          <w:szCs w:val="24"/>
          <w:lang w:eastAsia="en-AU"/>
        </w:rPr>
        <mc:AlternateContent>
          <mc:Choice Requires="wps">
            <w:drawing>
              <wp:anchor distT="0" distB="0" distL="114300" distR="114300" simplePos="0" relativeHeight="251695104" behindDoc="0" locked="0" layoutInCell="1" allowOverlap="1" wp14:anchorId="14F18471" wp14:editId="1072A6CA">
                <wp:simplePos x="0" y="0"/>
                <wp:positionH relativeFrom="column">
                  <wp:posOffset>3311914</wp:posOffset>
                </wp:positionH>
                <wp:positionV relativeFrom="paragraph">
                  <wp:posOffset>3006392</wp:posOffset>
                </wp:positionV>
                <wp:extent cx="625467" cy="739098"/>
                <wp:effectExtent l="0" t="0" r="80010" b="61595"/>
                <wp:wrapTopAndBottom/>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67" cy="73909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shape w14:anchorId="35B76BA7" id="AutoShape 25" o:spid="_x0000_s1026" type="#_x0000_t32" style="position:absolute;margin-left:260.8pt;margin-top:236.7pt;width:49.25pt;height:58.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">
                <v:stroke endarrow="block"/>
                <v:shadow color="#ccc"/>
                <w10:wrap type="topAndBottom"/>
              </v:shape>
            </w:pict>
          </mc:Fallback>
        </mc:AlternateContent>
      </w:r>
    </w:p>
    <w:p w14:paraId="44572A25" w14:textId="77777777" w:rsidR="00A44B87" w:rsidRPr="00E51FA9" w:rsidRDefault="00A44B87" w:rsidP="0019074D">
      <w:pPr>
        <w:spacing w:after="120" w:line="360" w:lineRule="auto"/>
        <w:outlineLvl w:val="0"/>
        <w:rPr>
          <w:sz w:val="24"/>
          <w:szCs w:val="24"/>
        </w:rPr>
      </w:pPr>
      <w:r w:rsidRPr="00E51FA9">
        <w:rPr>
          <w:sz w:val="24"/>
          <w:szCs w:val="24"/>
        </w:rPr>
        <w:t xml:space="preserve">Figure 3: Flow diagram of search processes </w:t>
      </w:r>
    </w:p>
    <w:p w14:paraId="6D0EBA1E" w14:textId="77777777" w:rsidR="00CB6A25" w:rsidRPr="00E51FA9" w:rsidRDefault="00CB6A25">
      <w:pPr>
        <w:spacing w:after="200" w:line="276" w:lineRule="auto"/>
        <w:rPr>
          <w:sz w:val="24"/>
          <w:szCs w:val="24"/>
        </w:rPr>
        <w:sectPr w:rsidR="00CB6A25" w:rsidRPr="00E51FA9" w:rsidSect="00CD28D7">
          <w:headerReference w:type="default" r:id="rId16"/>
          <w:footerReference w:type="default" r:id="rId17"/>
          <w:footerReference w:type="first" r:id="rId18"/>
          <w:pgSz w:w="11906" w:h="16838"/>
          <w:pgMar w:top="1440" w:right="1080" w:bottom="1440" w:left="1080" w:header="708" w:footer="708" w:gutter="0"/>
          <w:cols w:space="708"/>
          <w:titlePg/>
          <w:docGrid w:linePitch="360"/>
        </w:sectPr>
      </w:pPr>
    </w:p>
    <w:p w14:paraId="3162CFBA" w14:textId="2FC65BC6" w:rsidR="00CB6A25" w:rsidRPr="00E51FA9" w:rsidRDefault="00CB6A25" w:rsidP="00CB6A25">
      <w:pPr>
        <w:tabs>
          <w:tab w:val="left" w:pos="3386"/>
        </w:tabs>
        <w:spacing w:after="200" w:line="276" w:lineRule="auto"/>
        <w:rPr>
          <w:sz w:val="24"/>
          <w:szCs w:val="24"/>
        </w:rPr>
      </w:pPr>
      <w:r w:rsidRPr="00E51FA9">
        <w:rPr>
          <w:sz w:val="24"/>
          <w:szCs w:val="24"/>
        </w:rPr>
        <w:lastRenderedPageBreak/>
        <w:tab/>
      </w:r>
    </w:p>
    <w:p w14:paraId="54E3B88A" w14:textId="18A31F3C" w:rsidR="00AB6044" w:rsidRPr="00E51FA9" w:rsidRDefault="00CD28D7" w:rsidP="00AB6044">
      <w:pPr>
        <w:spacing w:after="120" w:line="360" w:lineRule="auto"/>
        <w:rPr>
          <w:sz w:val="24"/>
          <w:szCs w:val="24"/>
        </w:rPr>
      </w:pPr>
      <w:r w:rsidRPr="00E51FA9">
        <w:rPr>
          <w:sz w:val="24"/>
          <w:szCs w:val="24"/>
        </w:rPr>
        <w:t>Table 1.</w:t>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503"/>
        <w:gridCol w:w="2088"/>
        <w:gridCol w:w="2168"/>
        <w:gridCol w:w="1651"/>
        <w:gridCol w:w="4109"/>
      </w:tblGrid>
      <w:tr w:rsidR="008D0EEB" w:rsidRPr="00E51FA9" w14:paraId="65AF8C58" w14:textId="77777777" w:rsidTr="008D0EEB">
        <w:trPr>
          <w:tblHeader/>
        </w:trPr>
        <w:tc>
          <w:tcPr>
            <w:tcW w:w="738" w:type="pct"/>
            <w:shd w:val="clear" w:color="auto" w:fill="auto"/>
          </w:tcPr>
          <w:p w14:paraId="67C86BD8" w14:textId="77777777" w:rsidR="00CB6A25" w:rsidRPr="00E51FA9" w:rsidRDefault="00CB6A25" w:rsidP="005D22CA">
            <w:pPr>
              <w:spacing w:after="120" w:line="276" w:lineRule="auto"/>
              <w:rPr>
                <w:rFonts w:eastAsia="Calibri"/>
                <w:b/>
                <w:sz w:val="22"/>
                <w:szCs w:val="22"/>
              </w:rPr>
            </w:pPr>
            <w:r w:rsidRPr="00E51FA9">
              <w:rPr>
                <w:rFonts w:eastAsia="Calibri"/>
                <w:b/>
                <w:sz w:val="22"/>
                <w:szCs w:val="22"/>
              </w:rPr>
              <w:t xml:space="preserve">Authors </w:t>
            </w:r>
          </w:p>
        </w:tc>
        <w:tc>
          <w:tcPr>
            <w:tcW w:w="852" w:type="pct"/>
            <w:shd w:val="clear" w:color="auto" w:fill="auto"/>
          </w:tcPr>
          <w:p w14:paraId="0EDE1D61" w14:textId="77777777" w:rsidR="00CB6A25" w:rsidRPr="00E51FA9" w:rsidRDefault="00CB6A25" w:rsidP="005D22CA">
            <w:pPr>
              <w:spacing w:after="120" w:line="276" w:lineRule="auto"/>
              <w:rPr>
                <w:rFonts w:eastAsia="Calibri"/>
                <w:b/>
                <w:sz w:val="22"/>
                <w:szCs w:val="22"/>
              </w:rPr>
            </w:pPr>
            <w:r w:rsidRPr="00E51FA9">
              <w:rPr>
                <w:rFonts w:eastAsia="Calibri"/>
                <w:b/>
                <w:sz w:val="22"/>
                <w:szCs w:val="22"/>
              </w:rPr>
              <w:t xml:space="preserve">Sample </w:t>
            </w:r>
          </w:p>
        </w:tc>
        <w:tc>
          <w:tcPr>
            <w:tcW w:w="711" w:type="pct"/>
            <w:shd w:val="clear" w:color="auto" w:fill="auto"/>
          </w:tcPr>
          <w:p w14:paraId="7A19D8E4" w14:textId="77777777" w:rsidR="00CB6A25" w:rsidRPr="00E51FA9" w:rsidRDefault="00CB6A25" w:rsidP="005D22CA">
            <w:pPr>
              <w:spacing w:after="120" w:line="276" w:lineRule="auto"/>
              <w:rPr>
                <w:rFonts w:eastAsia="Calibri"/>
                <w:b/>
                <w:sz w:val="22"/>
                <w:szCs w:val="22"/>
              </w:rPr>
            </w:pPr>
            <w:r w:rsidRPr="00E51FA9">
              <w:rPr>
                <w:rFonts w:eastAsia="Calibri"/>
                <w:b/>
                <w:sz w:val="22"/>
                <w:szCs w:val="22"/>
              </w:rPr>
              <w:t>Type of abuse</w:t>
            </w:r>
          </w:p>
        </w:tc>
        <w:tc>
          <w:tcPr>
            <w:tcW w:w="738" w:type="pct"/>
            <w:shd w:val="clear" w:color="auto" w:fill="auto"/>
          </w:tcPr>
          <w:p w14:paraId="4CA2AE0B" w14:textId="77777777" w:rsidR="00CB6A25" w:rsidRPr="00E51FA9" w:rsidRDefault="00CB6A25" w:rsidP="005D22CA">
            <w:pPr>
              <w:spacing w:after="120" w:line="276" w:lineRule="auto"/>
              <w:rPr>
                <w:rFonts w:eastAsia="Calibri"/>
                <w:b/>
                <w:sz w:val="22"/>
                <w:szCs w:val="22"/>
              </w:rPr>
            </w:pPr>
            <w:r w:rsidRPr="00E51FA9">
              <w:rPr>
                <w:rFonts w:eastAsia="Calibri"/>
                <w:b/>
                <w:sz w:val="22"/>
                <w:szCs w:val="22"/>
              </w:rPr>
              <w:t xml:space="preserve">Intervention </w:t>
            </w:r>
          </w:p>
        </w:tc>
        <w:tc>
          <w:tcPr>
            <w:tcW w:w="562" w:type="pct"/>
            <w:shd w:val="clear" w:color="auto" w:fill="auto"/>
          </w:tcPr>
          <w:p w14:paraId="17FBC8B8" w14:textId="77777777" w:rsidR="00CB6A25" w:rsidRPr="00E51FA9" w:rsidRDefault="00CB6A25" w:rsidP="005D22CA">
            <w:pPr>
              <w:spacing w:after="120" w:line="276" w:lineRule="auto"/>
              <w:rPr>
                <w:rFonts w:eastAsia="Calibri"/>
                <w:b/>
                <w:sz w:val="22"/>
                <w:szCs w:val="22"/>
              </w:rPr>
            </w:pPr>
            <w:r w:rsidRPr="00E51FA9">
              <w:rPr>
                <w:rFonts w:eastAsia="Calibri"/>
                <w:b/>
                <w:sz w:val="22"/>
                <w:szCs w:val="22"/>
              </w:rPr>
              <w:t>Study design</w:t>
            </w:r>
          </w:p>
        </w:tc>
        <w:tc>
          <w:tcPr>
            <w:tcW w:w="1399" w:type="pct"/>
            <w:shd w:val="clear" w:color="auto" w:fill="auto"/>
          </w:tcPr>
          <w:p w14:paraId="315003D3" w14:textId="77777777" w:rsidR="00CB6A25" w:rsidRPr="00E51FA9" w:rsidRDefault="00CB6A25" w:rsidP="005D22CA">
            <w:pPr>
              <w:spacing w:after="120" w:line="276" w:lineRule="auto"/>
              <w:rPr>
                <w:rFonts w:eastAsia="Calibri"/>
                <w:b/>
                <w:sz w:val="22"/>
                <w:szCs w:val="22"/>
              </w:rPr>
            </w:pPr>
            <w:r w:rsidRPr="00E51FA9">
              <w:rPr>
                <w:rFonts w:eastAsia="Calibri"/>
                <w:b/>
                <w:sz w:val="22"/>
                <w:szCs w:val="22"/>
              </w:rPr>
              <w:t xml:space="preserve">Outcome </w:t>
            </w:r>
          </w:p>
        </w:tc>
      </w:tr>
      <w:tr w:rsidR="008D0EEB" w:rsidRPr="00E51FA9" w14:paraId="027C6C39" w14:textId="77777777" w:rsidTr="008D0EEB">
        <w:tc>
          <w:tcPr>
            <w:tcW w:w="738" w:type="pct"/>
            <w:shd w:val="clear" w:color="auto" w:fill="auto"/>
          </w:tcPr>
          <w:p w14:paraId="1AA7EBE1" w14:textId="79CD39B7" w:rsidR="00CB6A25" w:rsidRPr="00E51FA9" w:rsidRDefault="001531CC" w:rsidP="005D22CA">
            <w:pPr>
              <w:spacing w:after="120" w:line="276" w:lineRule="auto"/>
              <w:rPr>
                <w:b/>
                <w:sz w:val="22"/>
                <w:szCs w:val="22"/>
                <w:u w:val="single"/>
                <w:lang w:bidi="he-IL"/>
              </w:rPr>
            </w:pPr>
            <w:r w:rsidRPr="00E51FA9">
              <w:rPr>
                <w:b/>
                <w:sz w:val="22"/>
                <w:szCs w:val="22"/>
                <w:u w:val="single"/>
                <w:lang w:bidi="he-IL"/>
              </w:rPr>
              <w:t>Behavioural</w:t>
            </w:r>
            <w:r w:rsidR="00CB6A25" w:rsidRPr="00E51FA9">
              <w:rPr>
                <w:b/>
                <w:sz w:val="22"/>
                <w:szCs w:val="22"/>
                <w:u w:val="single"/>
                <w:lang w:bidi="he-IL"/>
              </w:rPr>
              <w:t xml:space="preserve"> </w:t>
            </w:r>
            <w:r w:rsidR="008D0EEB">
              <w:rPr>
                <w:b/>
                <w:sz w:val="22"/>
                <w:szCs w:val="22"/>
                <w:u w:val="single"/>
                <w:lang w:bidi="he-IL"/>
              </w:rPr>
              <w:t>s</w:t>
            </w:r>
            <w:r w:rsidR="00CB6A25" w:rsidRPr="00E51FA9">
              <w:rPr>
                <w:b/>
                <w:sz w:val="22"/>
                <w:szCs w:val="22"/>
                <w:u w:val="single"/>
                <w:lang w:bidi="he-IL"/>
              </w:rPr>
              <w:t xml:space="preserve">kills </w:t>
            </w:r>
            <w:r w:rsidR="008D0EEB">
              <w:rPr>
                <w:b/>
                <w:sz w:val="22"/>
                <w:szCs w:val="22"/>
                <w:u w:val="single"/>
                <w:lang w:bidi="he-IL"/>
              </w:rPr>
              <w:t>t</w:t>
            </w:r>
            <w:r w:rsidR="00CB6A25" w:rsidRPr="00E51FA9">
              <w:rPr>
                <w:b/>
                <w:sz w:val="22"/>
                <w:szCs w:val="22"/>
                <w:u w:val="single"/>
                <w:lang w:bidi="he-IL"/>
              </w:rPr>
              <w:t xml:space="preserve">raining </w:t>
            </w:r>
          </w:p>
          <w:p w14:paraId="3710DD66" w14:textId="5ACFDDC7" w:rsidR="00CB6A25" w:rsidRPr="00E51FA9" w:rsidRDefault="00CB6A25" w:rsidP="005D22CA">
            <w:pPr>
              <w:spacing w:after="120" w:line="276" w:lineRule="auto"/>
              <w:ind w:left="142" w:hanging="142"/>
              <w:rPr>
                <w:sz w:val="22"/>
                <w:szCs w:val="22"/>
                <w:lang w:bidi="he-IL"/>
              </w:rPr>
            </w:pPr>
            <w:r w:rsidRPr="00E51FA9">
              <w:rPr>
                <w:sz w:val="22"/>
                <w:szCs w:val="22"/>
                <w:lang w:bidi="he-IL"/>
              </w:rPr>
              <w:t xml:space="preserve">   Egemo-Helm, Miltenberger, Knudson, Finstrom, Jostad &amp; Johnson (2007). </w:t>
            </w:r>
          </w:p>
          <w:p w14:paraId="1D0A508C" w14:textId="77777777" w:rsidR="00CB6A25" w:rsidRPr="00E51FA9" w:rsidRDefault="00CB6A25" w:rsidP="005D22CA">
            <w:pPr>
              <w:spacing w:after="120" w:line="276" w:lineRule="auto"/>
              <w:rPr>
                <w:rFonts w:eastAsia="Calibri"/>
                <w:sz w:val="22"/>
                <w:szCs w:val="22"/>
                <w:rtl/>
                <w:lang w:bidi="he-IL"/>
              </w:rPr>
            </w:pPr>
          </w:p>
        </w:tc>
        <w:tc>
          <w:tcPr>
            <w:tcW w:w="852" w:type="pct"/>
            <w:shd w:val="clear" w:color="auto" w:fill="auto"/>
          </w:tcPr>
          <w:p w14:paraId="2FC0D112" w14:textId="6AC3D510" w:rsidR="00CB6A25" w:rsidRPr="00E51FA9" w:rsidRDefault="006753FB" w:rsidP="005D22CA">
            <w:pPr>
              <w:spacing w:after="120" w:line="276" w:lineRule="auto"/>
              <w:rPr>
                <w:rFonts w:eastAsia="Calibri"/>
                <w:sz w:val="22"/>
                <w:szCs w:val="22"/>
              </w:rPr>
            </w:pPr>
            <w:r>
              <w:rPr>
                <w:rFonts w:eastAsia="Calibri"/>
                <w:sz w:val="22"/>
                <w:szCs w:val="22"/>
              </w:rPr>
              <w:t>Four</w:t>
            </w:r>
            <w:r w:rsidR="00CB6A25" w:rsidRPr="00E51FA9">
              <w:rPr>
                <w:rFonts w:eastAsia="Calibri"/>
                <w:sz w:val="22"/>
                <w:szCs w:val="22"/>
              </w:rPr>
              <w:t xml:space="preserve"> women with mild to moderate intellectual disability. </w:t>
            </w:r>
          </w:p>
        </w:tc>
        <w:tc>
          <w:tcPr>
            <w:tcW w:w="711" w:type="pct"/>
            <w:shd w:val="clear" w:color="auto" w:fill="auto"/>
          </w:tcPr>
          <w:p w14:paraId="13215A96"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Sexual abuse</w:t>
            </w:r>
          </w:p>
        </w:tc>
        <w:tc>
          <w:tcPr>
            <w:tcW w:w="738" w:type="pct"/>
            <w:shd w:val="clear" w:color="auto" w:fill="auto"/>
          </w:tcPr>
          <w:p w14:paraId="28169F29" w14:textId="75D1B21C" w:rsidR="00CB6A25" w:rsidRPr="00E51FA9" w:rsidRDefault="006753FB" w:rsidP="00D00A68">
            <w:pPr>
              <w:spacing w:after="120" w:line="276" w:lineRule="auto"/>
              <w:rPr>
                <w:rFonts w:eastAsia="Calibri"/>
                <w:sz w:val="22"/>
                <w:szCs w:val="22"/>
              </w:rPr>
            </w:pPr>
            <w:r>
              <w:rPr>
                <w:rFonts w:eastAsia="Calibri"/>
                <w:sz w:val="22"/>
                <w:szCs w:val="22"/>
              </w:rPr>
              <w:t>Three</w:t>
            </w:r>
            <w:r w:rsidR="00D00A68">
              <w:rPr>
                <w:rFonts w:eastAsia="Calibri"/>
                <w:sz w:val="22"/>
                <w:szCs w:val="22"/>
              </w:rPr>
              <w:t xml:space="preserve"> one hour training sessions to increase recognition and response to sexual abuse situations. Rehearsal of appropriate responses and </w:t>
            </w:r>
            <w:r w:rsidR="0019074D">
              <w:rPr>
                <w:rFonts w:eastAsia="Calibri"/>
                <w:sz w:val="22"/>
                <w:szCs w:val="22"/>
              </w:rPr>
              <w:t>in-situ</w:t>
            </w:r>
            <w:r w:rsidR="00D00A68">
              <w:rPr>
                <w:rFonts w:eastAsia="Calibri"/>
                <w:sz w:val="22"/>
                <w:szCs w:val="22"/>
              </w:rPr>
              <w:t xml:space="preserve"> </w:t>
            </w:r>
            <w:r w:rsidR="001531CC">
              <w:rPr>
                <w:rFonts w:eastAsia="Calibri"/>
                <w:sz w:val="22"/>
                <w:szCs w:val="22"/>
              </w:rPr>
              <w:t>assessment</w:t>
            </w:r>
            <w:r w:rsidR="00D00A68">
              <w:rPr>
                <w:rFonts w:eastAsia="Calibri"/>
                <w:sz w:val="22"/>
                <w:szCs w:val="22"/>
              </w:rPr>
              <w:t xml:space="preserve">. </w:t>
            </w:r>
          </w:p>
          <w:p w14:paraId="06E4B4DA" w14:textId="77777777" w:rsidR="00CB6A25" w:rsidRPr="00E51FA9" w:rsidRDefault="00CB6A25" w:rsidP="005D22CA">
            <w:pPr>
              <w:spacing w:after="120" w:line="276" w:lineRule="auto"/>
              <w:rPr>
                <w:rFonts w:eastAsia="Calibri"/>
                <w:sz w:val="22"/>
                <w:szCs w:val="22"/>
              </w:rPr>
            </w:pPr>
          </w:p>
        </w:tc>
        <w:tc>
          <w:tcPr>
            <w:tcW w:w="562" w:type="pct"/>
            <w:shd w:val="clear" w:color="auto" w:fill="auto"/>
          </w:tcPr>
          <w:p w14:paraId="0EFAB137"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Single-subject</w:t>
            </w:r>
          </w:p>
          <w:p w14:paraId="426D504A" w14:textId="77777777" w:rsidR="00CB6A25" w:rsidRPr="00E51FA9" w:rsidRDefault="00CB6A25" w:rsidP="005D22CA">
            <w:pPr>
              <w:spacing w:after="120" w:line="276" w:lineRule="auto"/>
              <w:rPr>
                <w:rFonts w:eastAsia="Calibri"/>
                <w:sz w:val="22"/>
                <w:szCs w:val="22"/>
              </w:rPr>
            </w:pPr>
          </w:p>
        </w:tc>
        <w:tc>
          <w:tcPr>
            <w:tcW w:w="1399" w:type="pct"/>
            <w:shd w:val="clear" w:color="auto" w:fill="auto"/>
          </w:tcPr>
          <w:p w14:paraId="76AE0165" w14:textId="7855B842" w:rsidR="00CB6A25" w:rsidRPr="00E51FA9" w:rsidRDefault="00CB6A25" w:rsidP="005D22CA">
            <w:pPr>
              <w:spacing w:after="120" w:line="276" w:lineRule="auto"/>
              <w:rPr>
                <w:rFonts w:eastAsia="Calibri"/>
                <w:sz w:val="22"/>
                <w:szCs w:val="22"/>
              </w:rPr>
            </w:pPr>
            <w:r w:rsidRPr="00E51FA9">
              <w:rPr>
                <w:rFonts w:eastAsia="Calibri"/>
                <w:sz w:val="22"/>
                <w:szCs w:val="22"/>
              </w:rPr>
              <w:t xml:space="preserve">Participants showed improvement in recognizing and responding to abuse situation in role-plays. However, the skills failed to generalise to </w:t>
            </w:r>
            <w:r w:rsidR="0019074D">
              <w:rPr>
                <w:rFonts w:eastAsia="Calibri"/>
                <w:sz w:val="22"/>
                <w:szCs w:val="22"/>
              </w:rPr>
              <w:t>in-situ</w:t>
            </w:r>
            <w:r w:rsidRPr="00E51FA9">
              <w:rPr>
                <w:rFonts w:eastAsia="Calibri"/>
                <w:sz w:val="22"/>
                <w:szCs w:val="22"/>
              </w:rPr>
              <w:t xml:space="preserve"> assessments until the situ training was implemented</w:t>
            </w:r>
          </w:p>
          <w:p w14:paraId="0C7869B8" w14:textId="77777777" w:rsidR="00CB6A25" w:rsidRPr="00E51FA9" w:rsidRDefault="00CB6A25" w:rsidP="005D22CA">
            <w:pPr>
              <w:spacing w:after="120" w:line="276" w:lineRule="auto"/>
              <w:rPr>
                <w:rFonts w:eastAsia="Calibri"/>
                <w:sz w:val="22"/>
                <w:szCs w:val="22"/>
              </w:rPr>
            </w:pPr>
          </w:p>
        </w:tc>
      </w:tr>
      <w:tr w:rsidR="008D0EEB" w:rsidRPr="00E51FA9" w14:paraId="209783EE" w14:textId="77777777" w:rsidTr="008D0EEB">
        <w:tc>
          <w:tcPr>
            <w:tcW w:w="738" w:type="pct"/>
            <w:shd w:val="clear" w:color="auto" w:fill="auto"/>
          </w:tcPr>
          <w:p w14:paraId="7A5078E8" w14:textId="77777777" w:rsidR="00CB6A25" w:rsidRPr="00E51FA9" w:rsidRDefault="00CB6A25" w:rsidP="005D22CA">
            <w:pPr>
              <w:spacing w:after="120" w:line="276" w:lineRule="auto"/>
              <w:rPr>
                <w:b/>
                <w:sz w:val="22"/>
                <w:szCs w:val="22"/>
                <w:u w:val="single"/>
              </w:rPr>
            </w:pPr>
            <w:r w:rsidRPr="00E51FA9">
              <w:rPr>
                <w:b/>
                <w:sz w:val="22"/>
                <w:szCs w:val="22"/>
                <w:u w:val="single"/>
              </w:rPr>
              <w:t>Training based on cognitively orientated decision approach.</w:t>
            </w:r>
          </w:p>
          <w:p w14:paraId="7C3B50F2" w14:textId="1810E6E5" w:rsidR="00CB6A25" w:rsidRPr="00E51FA9" w:rsidRDefault="00CB6A25" w:rsidP="006753FB">
            <w:pPr>
              <w:spacing w:after="120" w:line="276" w:lineRule="auto"/>
              <w:ind w:left="167"/>
              <w:rPr>
                <w:sz w:val="22"/>
                <w:szCs w:val="22"/>
              </w:rPr>
            </w:pPr>
            <w:r w:rsidRPr="00E51FA9">
              <w:rPr>
                <w:sz w:val="22"/>
                <w:szCs w:val="22"/>
              </w:rPr>
              <w:t>Hickson, Khemka, Golden</w:t>
            </w:r>
            <w:r w:rsidR="006753FB">
              <w:rPr>
                <w:sz w:val="22"/>
                <w:szCs w:val="22"/>
              </w:rPr>
              <w:t xml:space="preserve"> &amp;</w:t>
            </w:r>
            <w:r w:rsidRPr="00E51FA9">
              <w:rPr>
                <w:sz w:val="22"/>
                <w:szCs w:val="22"/>
              </w:rPr>
              <w:t xml:space="preserve"> Chatzistyli (2015)</w:t>
            </w:r>
            <w:r w:rsidR="0039445C">
              <w:rPr>
                <w:sz w:val="22"/>
                <w:szCs w:val="22"/>
              </w:rPr>
              <w:t>.</w:t>
            </w:r>
            <w:r w:rsidRPr="00E51FA9">
              <w:rPr>
                <w:sz w:val="22"/>
                <w:szCs w:val="22"/>
              </w:rPr>
              <w:t xml:space="preserve"> </w:t>
            </w:r>
          </w:p>
        </w:tc>
        <w:tc>
          <w:tcPr>
            <w:tcW w:w="852" w:type="pct"/>
            <w:shd w:val="clear" w:color="auto" w:fill="auto"/>
          </w:tcPr>
          <w:p w14:paraId="0A9D3DA4"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58 men and women with mild intellectual disability.</w:t>
            </w:r>
          </w:p>
          <w:p w14:paraId="4D527B71"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30 in the intervention group and 28 in the control group.</w:t>
            </w:r>
          </w:p>
        </w:tc>
        <w:tc>
          <w:tcPr>
            <w:tcW w:w="711" w:type="pct"/>
            <w:shd w:val="clear" w:color="auto" w:fill="auto"/>
          </w:tcPr>
          <w:p w14:paraId="70568719"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Sexual, physical, and verbal (psychological) abuse</w:t>
            </w:r>
          </w:p>
          <w:p w14:paraId="4289BD3F" w14:textId="77777777" w:rsidR="00CB6A25" w:rsidRPr="00E51FA9" w:rsidRDefault="00CB6A25" w:rsidP="005D22CA">
            <w:pPr>
              <w:spacing w:after="120" w:line="276" w:lineRule="auto"/>
              <w:rPr>
                <w:rFonts w:eastAsia="Calibri"/>
                <w:sz w:val="22"/>
                <w:szCs w:val="22"/>
              </w:rPr>
            </w:pPr>
          </w:p>
        </w:tc>
        <w:tc>
          <w:tcPr>
            <w:tcW w:w="738" w:type="pct"/>
            <w:shd w:val="clear" w:color="auto" w:fill="auto"/>
          </w:tcPr>
          <w:p w14:paraId="2E895301" w14:textId="77777777" w:rsidR="00CB6A25" w:rsidRDefault="00CB6A25" w:rsidP="005D22CA">
            <w:pPr>
              <w:spacing w:after="120" w:line="276" w:lineRule="auto"/>
              <w:rPr>
                <w:rFonts w:eastAsia="Calibri"/>
                <w:sz w:val="22"/>
                <w:szCs w:val="22"/>
              </w:rPr>
            </w:pPr>
            <w:r w:rsidRPr="00E51FA9">
              <w:rPr>
                <w:rFonts w:eastAsia="Calibri"/>
                <w:sz w:val="22"/>
                <w:szCs w:val="22"/>
              </w:rPr>
              <w:t>12 small-group instructional sessions with ESCAPE-DD. The curriculum addressed cognitive, motivational and emotional components of recognizing and reacting to the abuse and processes involved in effective decision-making and empowerment.</w:t>
            </w:r>
          </w:p>
          <w:p w14:paraId="392DFAC5" w14:textId="77777777" w:rsidR="008D0EEB" w:rsidRPr="00E51FA9" w:rsidRDefault="008D0EEB" w:rsidP="005D22CA">
            <w:pPr>
              <w:spacing w:after="120" w:line="276" w:lineRule="auto"/>
              <w:rPr>
                <w:rFonts w:eastAsia="Calibri"/>
                <w:sz w:val="22"/>
                <w:szCs w:val="22"/>
              </w:rPr>
            </w:pPr>
          </w:p>
        </w:tc>
        <w:tc>
          <w:tcPr>
            <w:tcW w:w="562" w:type="pct"/>
            <w:shd w:val="clear" w:color="auto" w:fill="auto"/>
          </w:tcPr>
          <w:p w14:paraId="33FA2C16"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Randomised control trial</w:t>
            </w:r>
          </w:p>
        </w:tc>
        <w:tc>
          <w:tcPr>
            <w:tcW w:w="1399" w:type="pct"/>
            <w:shd w:val="clear" w:color="auto" w:fill="auto"/>
          </w:tcPr>
          <w:p w14:paraId="1F7A1DA3" w14:textId="5B232DB2" w:rsidR="00CB6A25" w:rsidRPr="00E51FA9" w:rsidRDefault="00CB6A25" w:rsidP="005D22CA">
            <w:pPr>
              <w:spacing w:after="120" w:line="276" w:lineRule="auto"/>
              <w:rPr>
                <w:rFonts w:eastAsia="Calibri"/>
                <w:sz w:val="22"/>
                <w:szCs w:val="22"/>
              </w:rPr>
            </w:pPr>
            <w:r w:rsidRPr="00E51FA9">
              <w:rPr>
                <w:rFonts w:eastAsia="Calibri"/>
                <w:sz w:val="22"/>
                <w:szCs w:val="22"/>
              </w:rPr>
              <w:t xml:space="preserve">Participants who experienced ESCAPE-DD demonstrated significant improvement </w:t>
            </w:r>
            <w:r w:rsidR="008D0EEB">
              <w:rPr>
                <w:rFonts w:eastAsia="Calibri"/>
                <w:sz w:val="22"/>
                <w:szCs w:val="22"/>
              </w:rPr>
              <w:t>i</w:t>
            </w:r>
            <w:r w:rsidRPr="00E51FA9">
              <w:rPr>
                <w:rFonts w:eastAsia="Calibri"/>
                <w:sz w:val="22"/>
                <w:szCs w:val="22"/>
              </w:rPr>
              <w:t>n overall effective decision making, were able to recognise abusive situation, seek help and to avoid the situation compared to the control. No effect of the intervention was found on abuse awareness measures.</w:t>
            </w:r>
          </w:p>
          <w:p w14:paraId="2ACFC14B" w14:textId="77777777" w:rsidR="00CB6A25" w:rsidRPr="00E51FA9" w:rsidRDefault="00CB6A25" w:rsidP="005D22CA">
            <w:pPr>
              <w:spacing w:after="120" w:line="276" w:lineRule="auto"/>
              <w:rPr>
                <w:rFonts w:eastAsia="Calibri"/>
                <w:sz w:val="22"/>
                <w:szCs w:val="22"/>
              </w:rPr>
            </w:pPr>
          </w:p>
          <w:p w14:paraId="7F37343B" w14:textId="77777777" w:rsidR="00CB6A25" w:rsidRPr="00E51FA9" w:rsidRDefault="00CB6A25" w:rsidP="005D22CA">
            <w:pPr>
              <w:spacing w:after="120" w:line="276" w:lineRule="auto"/>
              <w:rPr>
                <w:rFonts w:eastAsia="Calibri"/>
                <w:sz w:val="22"/>
                <w:szCs w:val="22"/>
              </w:rPr>
            </w:pPr>
          </w:p>
          <w:p w14:paraId="03DBC169" w14:textId="77777777" w:rsidR="00CB6A25" w:rsidRPr="00E51FA9" w:rsidRDefault="00CB6A25" w:rsidP="005D22CA">
            <w:pPr>
              <w:spacing w:after="120" w:line="276" w:lineRule="auto"/>
              <w:rPr>
                <w:rFonts w:eastAsia="Calibri"/>
                <w:sz w:val="22"/>
                <w:szCs w:val="22"/>
              </w:rPr>
            </w:pPr>
          </w:p>
        </w:tc>
      </w:tr>
      <w:tr w:rsidR="008D0EEB" w:rsidRPr="00E51FA9" w14:paraId="30BD6606" w14:textId="77777777" w:rsidTr="008D0EEB">
        <w:tc>
          <w:tcPr>
            <w:tcW w:w="738" w:type="pct"/>
            <w:shd w:val="clear" w:color="auto" w:fill="auto"/>
          </w:tcPr>
          <w:p w14:paraId="6FAD106F" w14:textId="7192F9E2" w:rsidR="00CB6A25" w:rsidRPr="00E51FA9" w:rsidRDefault="00CB6A25" w:rsidP="005D22CA">
            <w:pPr>
              <w:spacing w:after="120" w:line="276" w:lineRule="auto"/>
              <w:rPr>
                <w:b/>
                <w:bCs/>
                <w:sz w:val="22"/>
                <w:szCs w:val="22"/>
                <w:u w:val="single"/>
              </w:rPr>
            </w:pPr>
            <w:r w:rsidRPr="00E51FA9">
              <w:rPr>
                <w:b/>
                <w:bCs/>
                <w:sz w:val="22"/>
                <w:szCs w:val="22"/>
                <w:u w:val="single"/>
              </w:rPr>
              <w:t xml:space="preserve">Psycho-education </w:t>
            </w:r>
            <w:r w:rsidR="008D0EEB">
              <w:rPr>
                <w:b/>
                <w:bCs/>
                <w:sz w:val="22"/>
                <w:szCs w:val="22"/>
                <w:u w:val="single"/>
              </w:rPr>
              <w:lastRenderedPageBreak/>
              <w:t>t</w:t>
            </w:r>
            <w:r w:rsidRPr="00E51FA9">
              <w:rPr>
                <w:b/>
                <w:bCs/>
                <w:sz w:val="22"/>
                <w:szCs w:val="22"/>
                <w:u w:val="single"/>
              </w:rPr>
              <w:t xml:space="preserve">raining for- individuals with intellectual disabilities   </w:t>
            </w:r>
          </w:p>
          <w:p w14:paraId="5D5C5D65" w14:textId="1C28D3F8" w:rsidR="00CB6A25" w:rsidRPr="00E51FA9" w:rsidRDefault="00CB6A25" w:rsidP="005D22CA">
            <w:pPr>
              <w:spacing w:after="120" w:line="276" w:lineRule="auto"/>
              <w:rPr>
                <w:sz w:val="22"/>
                <w:szCs w:val="22"/>
              </w:rPr>
            </w:pPr>
            <w:r w:rsidRPr="00E51FA9">
              <w:rPr>
                <w:sz w:val="22"/>
                <w:szCs w:val="22"/>
              </w:rPr>
              <w:t xml:space="preserve">Lund, &amp; Hammond (2014). </w:t>
            </w:r>
          </w:p>
        </w:tc>
        <w:tc>
          <w:tcPr>
            <w:tcW w:w="852" w:type="pct"/>
            <w:shd w:val="clear" w:color="auto" w:fill="auto"/>
          </w:tcPr>
          <w:p w14:paraId="3B77DB43" w14:textId="77777777" w:rsidR="00CB6A25" w:rsidRPr="00E51FA9" w:rsidRDefault="00CB6A25" w:rsidP="005D22CA">
            <w:pPr>
              <w:spacing w:after="120" w:line="276" w:lineRule="auto"/>
              <w:rPr>
                <w:rFonts w:eastAsia="Calibri"/>
                <w:sz w:val="22"/>
                <w:szCs w:val="22"/>
              </w:rPr>
            </w:pPr>
            <w:r w:rsidRPr="00E51FA9">
              <w:rPr>
                <w:rFonts w:eastAsia="Calibri"/>
                <w:sz w:val="22"/>
                <w:szCs w:val="22"/>
              </w:rPr>
              <w:lastRenderedPageBreak/>
              <w:t>Not reported</w:t>
            </w:r>
          </w:p>
        </w:tc>
        <w:tc>
          <w:tcPr>
            <w:tcW w:w="711" w:type="pct"/>
            <w:shd w:val="clear" w:color="auto" w:fill="auto"/>
          </w:tcPr>
          <w:p w14:paraId="00235E94"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 xml:space="preserve">Financial, sexual, </w:t>
            </w:r>
            <w:r w:rsidRPr="00E51FA9">
              <w:rPr>
                <w:rFonts w:eastAsia="Calibri"/>
                <w:sz w:val="22"/>
                <w:szCs w:val="22"/>
              </w:rPr>
              <w:lastRenderedPageBreak/>
              <w:t>physical and verbal abuse</w:t>
            </w:r>
          </w:p>
        </w:tc>
        <w:tc>
          <w:tcPr>
            <w:tcW w:w="738" w:type="pct"/>
            <w:shd w:val="clear" w:color="auto" w:fill="auto"/>
          </w:tcPr>
          <w:p w14:paraId="67F000F2" w14:textId="4DE8D268" w:rsidR="00CB6A25" w:rsidRPr="00E51FA9" w:rsidRDefault="00CB6A25" w:rsidP="005D22CA">
            <w:pPr>
              <w:spacing w:after="120" w:line="276" w:lineRule="auto"/>
              <w:rPr>
                <w:rFonts w:eastAsia="Calibri"/>
                <w:sz w:val="22"/>
                <w:szCs w:val="22"/>
              </w:rPr>
            </w:pPr>
            <w:r w:rsidRPr="00E51FA9">
              <w:rPr>
                <w:rFonts w:eastAsia="Calibri"/>
                <w:sz w:val="22"/>
                <w:szCs w:val="22"/>
              </w:rPr>
              <w:lastRenderedPageBreak/>
              <w:t xml:space="preserve">A one-session abuse </w:t>
            </w:r>
            <w:r w:rsidRPr="00E51FA9">
              <w:rPr>
                <w:rFonts w:eastAsia="Calibri"/>
                <w:sz w:val="22"/>
                <w:szCs w:val="22"/>
              </w:rPr>
              <w:lastRenderedPageBreak/>
              <w:t xml:space="preserve">psycho-education program. The ‘Stopping Abuse </w:t>
            </w:r>
            <w:r w:rsidR="001531CC" w:rsidRPr="00E51FA9">
              <w:rPr>
                <w:rFonts w:eastAsia="Calibri"/>
                <w:sz w:val="22"/>
                <w:szCs w:val="22"/>
              </w:rPr>
              <w:t>for</w:t>
            </w:r>
            <w:r w:rsidRPr="00E51FA9">
              <w:rPr>
                <w:rFonts w:eastAsia="Calibri"/>
                <w:sz w:val="22"/>
                <w:szCs w:val="22"/>
              </w:rPr>
              <w:t xml:space="preserve"> Everyone’ (SAFE) curriculum: contents covered definitions of abuse and how to report abuse</w:t>
            </w:r>
            <w:r w:rsidR="006753FB">
              <w:rPr>
                <w:rFonts w:eastAsia="Calibri"/>
                <w:sz w:val="22"/>
                <w:szCs w:val="22"/>
              </w:rPr>
              <w:t>.</w:t>
            </w:r>
            <w:r w:rsidRPr="00E51FA9">
              <w:rPr>
                <w:rFonts w:eastAsia="Calibri"/>
                <w:sz w:val="22"/>
                <w:szCs w:val="22"/>
              </w:rPr>
              <w:t xml:space="preserve"> </w:t>
            </w:r>
          </w:p>
        </w:tc>
        <w:tc>
          <w:tcPr>
            <w:tcW w:w="562" w:type="pct"/>
            <w:shd w:val="clear" w:color="auto" w:fill="auto"/>
          </w:tcPr>
          <w:p w14:paraId="7D61320F" w14:textId="77777777" w:rsidR="00CB6A25" w:rsidRPr="00E51FA9" w:rsidRDefault="00CB6A25" w:rsidP="005D22CA">
            <w:pPr>
              <w:spacing w:after="120" w:line="276" w:lineRule="auto"/>
              <w:rPr>
                <w:rFonts w:eastAsia="Calibri"/>
                <w:sz w:val="22"/>
                <w:szCs w:val="22"/>
              </w:rPr>
            </w:pPr>
            <w:r w:rsidRPr="00E51FA9">
              <w:rPr>
                <w:rFonts w:eastAsia="Calibri"/>
                <w:sz w:val="22"/>
                <w:szCs w:val="22"/>
              </w:rPr>
              <w:lastRenderedPageBreak/>
              <w:t xml:space="preserve">Participatory </w:t>
            </w:r>
            <w:r w:rsidRPr="00E51FA9">
              <w:rPr>
                <w:rFonts w:eastAsia="Calibri"/>
                <w:sz w:val="22"/>
                <w:szCs w:val="22"/>
              </w:rPr>
              <w:lastRenderedPageBreak/>
              <w:t>action research</w:t>
            </w:r>
          </w:p>
        </w:tc>
        <w:tc>
          <w:tcPr>
            <w:tcW w:w="1399" w:type="pct"/>
            <w:shd w:val="clear" w:color="auto" w:fill="auto"/>
          </w:tcPr>
          <w:p w14:paraId="14CA5221" w14:textId="6FD9FF21" w:rsidR="00CB6A25" w:rsidRPr="00E51FA9" w:rsidRDefault="00CB6A25" w:rsidP="008D0EEB">
            <w:pPr>
              <w:spacing w:after="120" w:line="276" w:lineRule="auto"/>
              <w:rPr>
                <w:rFonts w:eastAsia="Calibri"/>
                <w:sz w:val="22"/>
                <w:szCs w:val="22"/>
              </w:rPr>
            </w:pPr>
            <w:r w:rsidRPr="00E51FA9">
              <w:rPr>
                <w:rFonts w:eastAsia="Calibri"/>
                <w:sz w:val="22"/>
                <w:szCs w:val="22"/>
              </w:rPr>
              <w:lastRenderedPageBreak/>
              <w:t xml:space="preserve">The participants reported greater </w:t>
            </w:r>
            <w:r w:rsidRPr="00E51FA9">
              <w:rPr>
                <w:rFonts w:eastAsia="Calibri"/>
                <w:sz w:val="22"/>
                <w:szCs w:val="22"/>
              </w:rPr>
              <w:lastRenderedPageBreak/>
              <w:t>knowledge</w:t>
            </w:r>
            <w:r w:rsidR="006753FB">
              <w:rPr>
                <w:rFonts w:eastAsia="Calibri"/>
                <w:sz w:val="22"/>
                <w:szCs w:val="22"/>
              </w:rPr>
              <w:t xml:space="preserve"> of</w:t>
            </w:r>
            <w:r w:rsidRPr="00E51FA9">
              <w:rPr>
                <w:rFonts w:eastAsia="Calibri"/>
                <w:sz w:val="22"/>
                <w:szCs w:val="22"/>
              </w:rPr>
              <w:t xml:space="preserve"> abuse. </w:t>
            </w:r>
            <w:r w:rsidR="001531CC" w:rsidRPr="00E51FA9">
              <w:rPr>
                <w:rFonts w:eastAsia="Calibri"/>
                <w:sz w:val="22"/>
                <w:szCs w:val="22"/>
              </w:rPr>
              <w:t>However,</w:t>
            </w:r>
            <w:r w:rsidRPr="00E51FA9">
              <w:rPr>
                <w:rFonts w:eastAsia="Calibri"/>
                <w:sz w:val="22"/>
                <w:szCs w:val="22"/>
              </w:rPr>
              <w:t xml:space="preserve"> an evaluation of these reports was not conducted</w:t>
            </w:r>
            <w:r w:rsidR="006753FB">
              <w:rPr>
                <w:rFonts w:eastAsia="Calibri"/>
                <w:sz w:val="22"/>
                <w:szCs w:val="22"/>
              </w:rPr>
              <w:t>.</w:t>
            </w:r>
          </w:p>
        </w:tc>
      </w:tr>
      <w:tr w:rsidR="008D0EEB" w:rsidRPr="00E51FA9" w14:paraId="2C0F8609" w14:textId="77777777" w:rsidTr="008D0EEB">
        <w:tc>
          <w:tcPr>
            <w:tcW w:w="738" w:type="pct"/>
            <w:shd w:val="clear" w:color="auto" w:fill="auto"/>
          </w:tcPr>
          <w:p w14:paraId="6CFFCA32" w14:textId="4779DB77" w:rsidR="00CB6A25" w:rsidRPr="00E51FA9" w:rsidRDefault="00CB6A25" w:rsidP="005D22CA">
            <w:pPr>
              <w:spacing w:after="120" w:line="276" w:lineRule="auto"/>
              <w:rPr>
                <w:b/>
                <w:sz w:val="22"/>
                <w:szCs w:val="22"/>
                <w:u w:val="single"/>
              </w:rPr>
            </w:pPr>
            <w:r w:rsidRPr="00E51FA9">
              <w:rPr>
                <w:sz w:val="22"/>
                <w:szCs w:val="22"/>
              </w:rPr>
              <w:lastRenderedPageBreak/>
              <w:t>Bowman, Scotti</w:t>
            </w:r>
            <w:r w:rsidR="008D0EEB">
              <w:rPr>
                <w:sz w:val="22"/>
                <w:szCs w:val="22"/>
              </w:rPr>
              <w:t xml:space="preserve"> </w:t>
            </w:r>
            <w:r w:rsidRPr="00E51FA9">
              <w:rPr>
                <w:sz w:val="22"/>
                <w:szCs w:val="22"/>
              </w:rPr>
              <w:t>&amp; Morris (2010)</w:t>
            </w:r>
            <w:r w:rsidR="0039445C">
              <w:rPr>
                <w:sz w:val="22"/>
                <w:szCs w:val="22"/>
              </w:rPr>
              <w:t>.</w:t>
            </w:r>
          </w:p>
        </w:tc>
        <w:tc>
          <w:tcPr>
            <w:tcW w:w="852" w:type="pct"/>
            <w:shd w:val="clear" w:color="auto" w:fill="auto"/>
          </w:tcPr>
          <w:p w14:paraId="2BFCCE16" w14:textId="3A4FF534" w:rsidR="00CB6A25" w:rsidRPr="00E51FA9" w:rsidRDefault="00CB6A25" w:rsidP="005D22CA">
            <w:pPr>
              <w:spacing w:after="120" w:line="276" w:lineRule="auto"/>
              <w:rPr>
                <w:rFonts w:eastAsia="Calibri"/>
                <w:sz w:val="22"/>
                <w:szCs w:val="22"/>
              </w:rPr>
            </w:pPr>
            <w:r w:rsidRPr="00E51FA9">
              <w:rPr>
                <w:rFonts w:eastAsia="Calibri"/>
                <w:sz w:val="22"/>
                <w:szCs w:val="22"/>
              </w:rPr>
              <w:t>124 servic</w:t>
            </w:r>
            <w:r w:rsidR="008D0EEB">
              <w:rPr>
                <w:rFonts w:eastAsia="Calibri"/>
                <w:sz w:val="22"/>
                <w:szCs w:val="22"/>
              </w:rPr>
              <w:t xml:space="preserve">e providers (direct care staff </w:t>
            </w:r>
            <w:r w:rsidRPr="00E51FA9">
              <w:rPr>
                <w:rFonts w:eastAsia="Calibri"/>
                <w:sz w:val="22"/>
                <w:szCs w:val="22"/>
              </w:rPr>
              <w:t xml:space="preserve">and supervisors), working in day care centres and residential group home settings </w:t>
            </w:r>
          </w:p>
        </w:tc>
        <w:tc>
          <w:tcPr>
            <w:tcW w:w="711" w:type="pct"/>
            <w:shd w:val="clear" w:color="auto" w:fill="auto"/>
          </w:tcPr>
          <w:p w14:paraId="1C7AE774"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Sexual abuse</w:t>
            </w:r>
          </w:p>
        </w:tc>
        <w:tc>
          <w:tcPr>
            <w:tcW w:w="738" w:type="pct"/>
            <w:shd w:val="clear" w:color="auto" w:fill="auto"/>
          </w:tcPr>
          <w:p w14:paraId="04CC579D" w14:textId="705D378E" w:rsidR="00CB6A25" w:rsidRPr="00E51FA9" w:rsidRDefault="00CB6A25" w:rsidP="006753FB">
            <w:pPr>
              <w:spacing w:after="120" w:line="276" w:lineRule="auto"/>
              <w:rPr>
                <w:rFonts w:eastAsia="Calibri"/>
                <w:sz w:val="22"/>
                <w:szCs w:val="22"/>
              </w:rPr>
            </w:pPr>
            <w:r w:rsidRPr="00E51FA9">
              <w:rPr>
                <w:rFonts w:eastAsia="Calibri"/>
                <w:sz w:val="22"/>
                <w:szCs w:val="22"/>
              </w:rPr>
              <w:t>Four hours of training in: (a) The definition of sexual abuse</w:t>
            </w:r>
            <w:r w:rsidR="006753FB">
              <w:rPr>
                <w:rFonts w:eastAsia="Calibri"/>
                <w:sz w:val="22"/>
                <w:szCs w:val="22"/>
              </w:rPr>
              <w:t>;</w:t>
            </w:r>
            <w:r w:rsidRPr="00E51FA9">
              <w:rPr>
                <w:rFonts w:eastAsia="Calibri"/>
                <w:sz w:val="22"/>
                <w:szCs w:val="22"/>
              </w:rPr>
              <w:t xml:space="preserve"> (b) Sexual abuse risk factors and patterns for abuse among individual</w:t>
            </w:r>
            <w:r w:rsidR="008D0EEB">
              <w:rPr>
                <w:rFonts w:eastAsia="Calibri"/>
                <w:sz w:val="22"/>
                <w:szCs w:val="22"/>
              </w:rPr>
              <w:t>s with intellectual disability</w:t>
            </w:r>
            <w:r w:rsidR="006753FB">
              <w:rPr>
                <w:rFonts w:eastAsia="Calibri"/>
                <w:sz w:val="22"/>
                <w:szCs w:val="22"/>
              </w:rPr>
              <w:t>;</w:t>
            </w:r>
            <w:r w:rsidR="008D0EEB">
              <w:rPr>
                <w:rFonts w:eastAsia="Calibri"/>
                <w:sz w:val="22"/>
                <w:szCs w:val="22"/>
              </w:rPr>
              <w:t xml:space="preserve"> </w:t>
            </w:r>
            <w:r w:rsidRPr="00E51FA9">
              <w:rPr>
                <w:rFonts w:eastAsia="Calibri"/>
                <w:sz w:val="22"/>
                <w:szCs w:val="22"/>
              </w:rPr>
              <w:t>c) Information on HIV/AIDS</w:t>
            </w:r>
            <w:r w:rsidR="006753FB">
              <w:rPr>
                <w:rFonts w:eastAsia="Calibri"/>
                <w:sz w:val="22"/>
                <w:szCs w:val="22"/>
              </w:rPr>
              <w:t>;</w:t>
            </w:r>
            <w:r w:rsidR="008D0EEB">
              <w:rPr>
                <w:rFonts w:eastAsia="Calibri"/>
                <w:sz w:val="22"/>
                <w:szCs w:val="22"/>
              </w:rPr>
              <w:t xml:space="preserve"> </w:t>
            </w:r>
            <w:r w:rsidRPr="00E51FA9">
              <w:rPr>
                <w:rFonts w:eastAsia="Calibri"/>
                <w:sz w:val="22"/>
                <w:szCs w:val="22"/>
              </w:rPr>
              <w:t>d) Identifying and responding to suspected sexual abuse.</w:t>
            </w:r>
          </w:p>
        </w:tc>
        <w:tc>
          <w:tcPr>
            <w:tcW w:w="562" w:type="pct"/>
            <w:shd w:val="clear" w:color="auto" w:fill="auto"/>
          </w:tcPr>
          <w:p w14:paraId="2E49C63A" w14:textId="3113EE72" w:rsidR="00CB6A25" w:rsidRPr="00E51FA9" w:rsidRDefault="00CB6A25" w:rsidP="005D22CA">
            <w:pPr>
              <w:spacing w:after="120" w:line="276" w:lineRule="auto"/>
              <w:rPr>
                <w:rFonts w:eastAsia="Calibri"/>
                <w:sz w:val="22"/>
                <w:szCs w:val="22"/>
              </w:rPr>
            </w:pPr>
            <w:r w:rsidRPr="00E51FA9">
              <w:rPr>
                <w:rFonts w:eastAsia="Calibri"/>
                <w:sz w:val="22"/>
                <w:szCs w:val="22"/>
              </w:rPr>
              <w:t>Cohort (pre- and post</w:t>
            </w:r>
            <w:r w:rsidR="001F4322">
              <w:rPr>
                <w:rFonts w:eastAsia="Calibri"/>
                <w:sz w:val="22"/>
                <w:szCs w:val="22"/>
              </w:rPr>
              <w:t>-</w:t>
            </w:r>
            <w:r w:rsidRPr="00E51FA9">
              <w:rPr>
                <w:rFonts w:eastAsia="Calibri"/>
                <w:sz w:val="22"/>
                <w:szCs w:val="22"/>
              </w:rPr>
              <w:t xml:space="preserve"> intervention with no control group)</w:t>
            </w:r>
          </w:p>
        </w:tc>
        <w:tc>
          <w:tcPr>
            <w:tcW w:w="1399" w:type="pct"/>
            <w:shd w:val="clear" w:color="auto" w:fill="auto"/>
          </w:tcPr>
          <w:p w14:paraId="5F466EA4" w14:textId="1684CD27" w:rsidR="00CB6A25" w:rsidRPr="00E51FA9" w:rsidRDefault="00CB6A25" w:rsidP="005D22CA">
            <w:pPr>
              <w:spacing w:after="120" w:line="276" w:lineRule="auto"/>
              <w:rPr>
                <w:rFonts w:eastAsia="Calibri"/>
                <w:sz w:val="22"/>
                <w:szCs w:val="22"/>
              </w:rPr>
            </w:pPr>
            <w:r w:rsidRPr="00E51FA9">
              <w:rPr>
                <w:rFonts w:eastAsia="Calibri"/>
                <w:sz w:val="22"/>
                <w:szCs w:val="22"/>
              </w:rPr>
              <w:t>Slight improvement in knowledge and attitudes about sexual abuse and the sexuality of persons with intellectual disability were found, no change was found in staffs</w:t>
            </w:r>
            <w:r w:rsidR="008D0EEB">
              <w:rPr>
                <w:rFonts w:eastAsia="Calibri"/>
                <w:sz w:val="22"/>
                <w:szCs w:val="22"/>
              </w:rPr>
              <w:t>’</w:t>
            </w:r>
            <w:r w:rsidRPr="00E51FA9">
              <w:rPr>
                <w:rFonts w:eastAsia="Calibri"/>
                <w:sz w:val="22"/>
                <w:szCs w:val="22"/>
              </w:rPr>
              <w:t xml:space="preserve"> general attitude toward individuals with intellectual disability. </w:t>
            </w:r>
          </w:p>
        </w:tc>
      </w:tr>
      <w:tr w:rsidR="008D0EEB" w:rsidRPr="00E51FA9" w14:paraId="342D6B90" w14:textId="77777777" w:rsidTr="008D0EEB">
        <w:tc>
          <w:tcPr>
            <w:tcW w:w="738" w:type="pct"/>
            <w:shd w:val="clear" w:color="auto" w:fill="auto"/>
          </w:tcPr>
          <w:p w14:paraId="6A95D5CB" w14:textId="43293C6B" w:rsidR="00CB6A25" w:rsidRPr="00E51FA9" w:rsidRDefault="00CB6A25" w:rsidP="005D22CA">
            <w:pPr>
              <w:spacing w:after="120" w:line="276" w:lineRule="auto"/>
              <w:rPr>
                <w:b/>
                <w:bCs/>
                <w:sz w:val="22"/>
                <w:szCs w:val="22"/>
                <w:u w:val="single"/>
              </w:rPr>
            </w:pPr>
            <w:r w:rsidRPr="00E51FA9">
              <w:rPr>
                <w:sz w:val="22"/>
                <w:szCs w:val="22"/>
              </w:rPr>
              <w:t>Peckham</w:t>
            </w:r>
            <w:r w:rsidR="006753FB">
              <w:rPr>
                <w:sz w:val="22"/>
                <w:szCs w:val="22"/>
              </w:rPr>
              <w:t>,</w:t>
            </w:r>
            <w:r w:rsidRPr="00E51FA9">
              <w:rPr>
                <w:sz w:val="22"/>
                <w:szCs w:val="22"/>
              </w:rPr>
              <w:t xml:space="preserve"> Howlet</w:t>
            </w:r>
            <w:r w:rsidR="008D0EEB">
              <w:rPr>
                <w:sz w:val="22"/>
                <w:szCs w:val="22"/>
              </w:rPr>
              <w:t xml:space="preserve">t </w:t>
            </w:r>
            <w:r w:rsidRPr="00E51FA9">
              <w:rPr>
                <w:sz w:val="22"/>
                <w:szCs w:val="22"/>
              </w:rPr>
              <w:t xml:space="preserve">&amp; Corbett (2007). </w:t>
            </w:r>
          </w:p>
        </w:tc>
        <w:tc>
          <w:tcPr>
            <w:tcW w:w="852" w:type="pct"/>
            <w:shd w:val="clear" w:color="auto" w:fill="auto"/>
          </w:tcPr>
          <w:p w14:paraId="1137B460" w14:textId="30E3B683" w:rsidR="00CB6A25" w:rsidRPr="00E51FA9" w:rsidRDefault="001F4322" w:rsidP="001F4322">
            <w:pPr>
              <w:spacing w:after="120"/>
              <w:rPr>
                <w:rFonts w:eastAsia="Calibri"/>
                <w:sz w:val="22"/>
                <w:szCs w:val="22"/>
              </w:rPr>
            </w:pPr>
            <w:r>
              <w:rPr>
                <w:rFonts w:eastAsia="Calibri"/>
                <w:sz w:val="22"/>
                <w:szCs w:val="22"/>
              </w:rPr>
              <w:t>Seven</w:t>
            </w:r>
            <w:r w:rsidR="00CB6A25" w:rsidRPr="00E51FA9">
              <w:rPr>
                <w:rFonts w:eastAsia="Calibri"/>
                <w:sz w:val="22"/>
                <w:szCs w:val="22"/>
              </w:rPr>
              <w:t xml:space="preserve"> women with significant intellectual disability who had been victims of sexual abuse and their </w:t>
            </w:r>
            <w:r>
              <w:rPr>
                <w:rFonts w:eastAsia="Calibri"/>
                <w:sz w:val="22"/>
                <w:szCs w:val="22"/>
              </w:rPr>
              <w:t>seven</w:t>
            </w:r>
            <w:r w:rsidR="00CB6A25" w:rsidRPr="00E51FA9">
              <w:rPr>
                <w:rFonts w:eastAsia="Calibri"/>
                <w:sz w:val="22"/>
                <w:szCs w:val="22"/>
              </w:rPr>
              <w:t xml:space="preserve"> professional care staff</w:t>
            </w:r>
          </w:p>
        </w:tc>
        <w:tc>
          <w:tcPr>
            <w:tcW w:w="711" w:type="pct"/>
            <w:shd w:val="clear" w:color="auto" w:fill="auto"/>
          </w:tcPr>
          <w:p w14:paraId="210F825F" w14:textId="77777777" w:rsidR="00CB6A25" w:rsidRPr="00E51FA9" w:rsidRDefault="00CB6A25" w:rsidP="005D22CA">
            <w:pPr>
              <w:spacing w:after="120" w:line="276" w:lineRule="auto"/>
              <w:rPr>
                <w:rFonts w:eastAsia="Calibri"/>
                <w:sz w:val="22"/>
                <w:szCs w:val="22"/>
              </w:rPr>
            </w:pPr>
            <w:r w:rsidRPr="00E51FA9">
              <w:rPr>
                <w:rFonts w:eastAsia="Calibri"/>
                <w:sz w:val="22"/>
                <w:szCs w:val="22"/>
              </w:rPr>
              <w:t>Sexual abuse</w:t>
            </w:r>
          </w:p>
        </w:tc>
        <w:tc>
          <w:tcPr>
            <w:tcW w:w="738" w:type="pct"/>
            <w:shd w:val="clear" w:color="auto" w:fill="auto"/>
          </w:tcPr>
          <w:p w14:paraId="6B093287" w14:textId="451E1CC4" w:rsidR="00CB6A25" w:rsidRPr="00E51FA9" w:rsidRDefault="00CB6A25" w:rsidP="005D22CA">
            <w:pPr>
              <w:spacing w:after="120" w:line="276" w:lineRule="auto"/>
              <w:rPr>
                <w:rFonts w:eastAsia="Calibri"/>
                <w:sz w:val="22"/>
                <w:szCs w:val="22"/>
              </w:rPr>
            </w:pPr>
            <w:r w:rsidRPr="00E51FA9">
              <w:rPr>
                <w:rFonts w:eastAsia="Calibri"/>
                <w:sz w:val="22"/>
                <w:szCs w:val="22"/>
              </w:rPr>
              <w:t xml:space="preserve">20 sessions of survivor group for the women with intellectual disability targeted to build trust and rapport, and help reprocess the trauma </w:t>
            </w:r>
            <w:r w:rsidRPr="00E51FA9">
              <w:rPr>
                <w:rFonts w:eastAsia="Calibri"/>
                <w:sz w:val="22"/>
                <w:szCs w:val="22"/>
              </w:rPr>
              <w:lastRenderedPageBreak/>
              <w:t>of their sexual abuse. Educational support group</w:t>
            </w:r>
            <w:r w:rsidR="008D0EEB">
              <w:rPr>
                <w:rFonts w:eastAsia="Calibri"/>
                <w:sz w:val="22"/>
                <w:szCs w:val="22"/>
              </w:rPr>
              <w:t xml:space="preserve"> </w:t>
            </w:r>
            <w:r w:rsidRPr="00E51FA9">
              <w:rPr>
                <w:rFonts w:eastAsia="Calibri"/>
                <w:sz w:val="22"/>
                <w:szCs w:val="22"/>
              </w:rPr>
              <w:t xml:space="preserve">for their </w:t>
            </w:r>
            <w:proofErr w:type="spellStart"/>
            <w:r w:rsidRPr="00E51FA9">
              <w:rPr>
                <w:rFonts w:eastAsia="Calibri"/>
                <w:sz w:val="22"/>
                <w:szCs w:val="22"/>
              </w:rPr>
              <w:t>carers</w:t>
            </w:r>
            <w:proofErr w:type="spellEnd"/>
            <w:r w:rsidRPr="00E51FA9">
              <w:rPr>
                <w:rFonts w:eastAsia="Calibri"/>
                <w:sz w:val="22"/>
                <w:szCs w:val="22"/>
              </w:rPr>
              <w:t>, aimed to provide knowledge about sexual abuse.</w:t>
            </w:r>
          </w:p>
          <w:p w14:paraId="5AE451D6" w14:textId="77777777" w:rsidR="00CB6A25" w:rsidRPr="00E51FA9" w:rsidRDefault="00CB6A25" w:rsidP="005D22CA">
            <w:pPr>
              <w:spacing w:after="120" w:line="276" w:lineRule="auto"/>
              <w:rPr>
                <w:rFonts w:eastAsia="Calibri"/>
                <w:sz w:val="22"/>
                <w:szCs w:val="22"/>
              </w:rPr>
            </w:pPr>
          </w:p>
        </w:tc>
        <w:tc>
          <w:tcPr>
            <w:tcW w:w="562" w:type="pct"/>
            <w:shd w:val="clear" w:color="auto" w:fill="auto"/>
          </w:tcPr>
          <w:p w14:paraId="0424750F" w14:textId="77777777" w:rsidR="00CB6A25" w:rsidRPr="00E51FA9" w:rsidRDefault="00CB6A25" w:rsidP="005D22CA">
            <w:pPr>
              <w:spacing w:after="120" w:line="276" w:lineRule="auto"/>
              <w:rPr>
                <w:rFonts w:eastAsia="Calibri"/>
                <w:sz w:val="22"/>
                <w:szCs w:val="22"/>
              </w:rPr>
            </w:pPr>
            <w:r w:rsidRPr="00E51FA9">
              <w:rPr>
                <w:rFonts w:eastAsia="Calibri"/>
                <w:sz w:val="22"/>
                <w:szCs w:val="22"/>
              </w:rPr>
              <w:lastRenderedPageBreak/>
              <w:t>Repeated-measures design (double baseline, mid-treatment, post-treatment and follow up)</w:t>
            </w:r>
          </w:p>
        </w:tc>
        <w:tc>
          <w:tcPr>
            <w:tcW w:w="1399" w:type="pct"/>
            <w:shd w:val="clear" w:color="auto" w:fill="auto"/>
          </w:tcPr>
          <w:p w14:paraId="05AB6CA9" w14:textId="087D20C8" w:rsidR="00CB6A25" w:rsidRPr="00E51FA9" w:rsidRDefault="00CB6A25" w:rsidP="005D22CA">
            <w:pPr>
              <w:spacing w:after="120" w:line="276" w:lineRule="auto"/>
              <w:rPr>
                <w:rFonts w:eastAsia="Calibri"/>
                <w:sz w:val="22"/>
                <w:szCs w:val="22"/>
              </w:rPr>
            </w:pPr>
            <w:r w:rsidRPr="00E51FA9">
              <w:rPr>
                <w:rFonts w:eastAsia="Calibri"/>
                <w:sz w:val="22"/>
                <w:szCs w:val="22"/>
              </w:rPr>
              <w:t xml:space="preserve">Women with </w:t>
            </w:r>
            <w:r w:rsidR="008D0EEB">
              <w:rPr>
                <w:rFonts w:eastAsia="Calibri"/>
                <w:sz w:val="22"/>
                <w:szCs w:val="22"/>
              </w:rPr>
              <w:t xml:space="preserve">intellectual disability </w:t>
            </w:r>
            <w:r w:rsidRPr="00E51FA9">
              <w:rPr>
                <w:rFonts w:eastAsia="Calibri"/>
                <w:sz w:val="22"/>
                <w:szCs w:val="22"/>
              </w:rPr>
              <w:t>showed improvements in sexual knowledge, reduce</w:t>
            </w:r>
            <w:r w:rsidR="001F4322">
              <w:rPr>
                <w:rFonts w:eastAsia="Calibri"/>
                <w:sz w:val="22"/>
                <w:szCs w:val="22"/>
              </w:rPr>
              <w:t>d</w:t>
            </w:r>
            <w:r w:rsidRPr="00E51FA9">
              <w:rPr>
                <w:rFonts w:eastAsia="Calibri"/>
                <w:sz w:val="22"/>
                <w:szCs w:val="22"/>
              </w:rPr>
              <w:t xml:space="preserve"> trauma and depression. </w:t>
            </w:r>
          </w:p>
          <w:p w14:paraId="1C744951" w14:textId="7841B212" w:rsidR="00CB6A25" w:rsidRPr="00E51FA9" w:rsidRDefault="00CB6A25" w:rsidP="008D0EEB">
            <w:pPr>
              <w:spacing w:after="120" w:line="276" w:lineRule="auto"/>
              <w:rPr>
                <w:rFonts w:eastAsia="Calibri"/>
                <w:sz w:val="22"/>
                <w:szCs w:val="22"/>
              </w:rPr>
            </w:pPr>
            <w:r w:rsidRPr="00E51FA9">
              <w:rPr>
                <w:rFonts w:eastAsia="Calibri"/>
                <w:sz w:val="22"/>
                <w:szCs w:val="22"/>
              </w:rPr>
              <w:t xml:space="preserve">Carers demonstrated improved knowledge and awareness of sexual abuse of women with </w:t>
            </w:r>
            <w:r w:rsidR="008D0EEB">
              <w:rPr>
                <w:rFonts w:eastAsia="Calibri"/>
                <w:sz w:val="22"/>
                <w:szCs w:val="22"/>
              </w:rPr>
              <w:t>intellectual disability.</w:t>
            </w:r>
          </w:p>
        </w:tc>
      </w:tr>
      <w:tr w:rsidR="008D0EEB" w:rsidRPr="00E51FA9" w14:paraId="5B540D27" w14:textId="77777777" w:rsidTr="008D0EEB">
        <w:tc>
          <w:tcPr>
            <w:tcW w:w="738" w:type="pct"/>
            <w:shd w:val="clear" w:color="auto" w:fill="auto"/>
          </w:tcPr>
          <w:p w14:paraId="4D84438F" w14:textId="4C76F5AE" w:rsidR="00CB6A25" w:rsidRPr="00E51FA9" w:rsidRDefault="00CB6A25" w:rsidP="001F4322">
            <w:pPr>
              <w:spacing w:after="120" w:line="276" w:lineRule="auto"/>
              <w:rPr>
                <w:sz w:val="22"/>
                <w:szCs w:val="22"/>
              </w:rPr>
            </w:pPr>
            <w:r w:rsidRPr="00E51FA9">
              <w:rPr>
                <w:sz w:val="22"/>
                <w:szCs w:val="22"/>
              </w:rPr>
              <w:lastRenderedPageBreak/>
              <w:t xml:space="preserve">Bollman, Davis, &amp; </w:t>
            </w:r>
            <w:proofErr w:type="spellStart"/>
            <w:r w:rsidRPr="00E51FA9">
              <w:rPr>
                <w:sz w:val="22"/>
                <w:szCs w:val="22"/>
              </w:rPr>
              <w:t>Zarcone</w:t>
            </w:r>
            <w:proofErr w:type="spellEnd"/>
            <w:r w:rsidRPr="00E51FA9">
              <w:rPr>
                <w:sz w:val="22"/>
                <w:szCs w:val="22"/>
              </w:rPr>
              <w:t xml:space="preserve"> (2009</w:t>
            </w:r>
            <w:r w:rsidR="001F4322">
              <w:rPr>
                <w:sz w:val="22"/>
                <w:szCs w:val="22"/>
              </w:rPr>
              <w:t>)</w:t>
            </w:r>
            <w:r w:rsidRPr="00E51FA9">
              <w:rPr>
                <w:sz w:val="22"/>
                <w:szCs w:val="22"/>
              </w:rPr>
              <w:t>.</w:t>
            </w:r>
          </w:p>
        </w:tc>
        <w:tc>
          <w:tcPr>
            <w:tcW w:w="852" w:type="pct"/>
            <w:shd w:val="clear" w:color="auto" w:fill="auto"/>
          </w:tcPr>
          <w:p w14:paraId="6620B364" w14:textId="0A3499B5" w:rsidR="00CB6A25" w:rsidRPr="00E51FA9" w:rsidRDefault="001F4322" w:rsidP="005D22CA">
            <w:pPr>
              <w:spacing w:after="120" w:line="276" w:lineRule="auto"/>
              <w:rPr>
                <w:rFonts w:eastAsia="Calibri"/>
                <w:sz w:val="22"/>
                <w:szCs w:val="22"/>
              </w:rPr>
            </w:pPr>
            <w:r>
              <w:rPr>
                <w:rFonts w:eastAsia="Calibri"/>
                <w:sz w:val="22"/>
                <w:szCs w:val="22"/>
                <w:lang w:bidi="he-IL"/>
              </w:rPr>
              <w:t>Two</w:t>
            </w:r>
            <w:r w:rsidR="001531CC" w:rsidRPr="00E51FA9">
              <w:rPr>
                <w:rFonts w:eastAsia="Calibri" w:hint="cs"/>
                <w:sz w:val="22"/>
                <w:szCs w:val="22"/>
                <w:rtl/>
                <w:lang w:bidi="he-IL"/>
              </w:rPr>
              <w:t xml:space="preserve"> </w:t>
            </w:r>
            <w:r w:rsidR="001531CC" w:rsidRPr="00E51FA9">
              <w:rPr>
                <w:rFonts w:eastAsia="Calibri"/>
                <w:sz w:val="22"/>
                <w:szCs w:val="22"/>
                <w:lang w:bidi="he-IL"/>
              </w:rPr>
              <w:t>women</w:t>
            </w:r>
            <w:r w:rsidR="00CB6A25" w:rsidRPr="00E51FA9">
              <w:rPr>
                <w:rFonts w:eastAsia="Calibri"/>
                <w:sz w:val="22"/>
                <w:szCs w:val="22"/>
              </w:rPr>
              <w:t xml:space="preserve"> with mild intellectual disabilities who lived at a state-operated residential facility </w:t>
            </w:r>
          </w:p>
        </w:tc>
        <w:tc>
          <w:tcPr>
            <w:tcW w:w="711" w:type="pct"/>
            <w:shd w:val="clear" w:color="auto" w:fill="auto"/>
          </w:tcPr>
          <w:p w14:paraId="0F8EF97E" w14:textId="083A4D94" w:rsidR="00CB6A25" w:rsidRPr="00E51FA9" w:rsidRDefault="00FA227D" w:rsidP="005D22CA">
            <w:pPr>
              <w:spacing w:after="120" w:line="276" w:lineRule="auto"/>
              <w:rPr>
                <w:rFonts w:eastAsia="Calibri"/>
                <w:sz w:val="22"/>
                <w:szCs w:val="22"/>
              </w:rPr>
            </w:pPr>
            <w:r>
              <w:rPr>
                <w:rFonts w:eastAsia="Calibri"/>
                <w:sz w:val="22"/>
                <w:szCs w:val="22"/>
                <w:lang w:bidi="he-IL"/>
              </w:rPr>
              <w:t>In</w:t>
            </w:r>
            <w:r w:rsidR="00CB6A25" w:rsidRPr="00E51FA9">
              <w:rPr>
                <w:rFonts w:eastAsia="Calibri"/>
                <w:sz w:val="22"/>
                <w:szCs w:val="22"/>
                <w:lang w:bidi="he-IL"/>
              </w:rPr>
              <w:t>appropriate staff interaction in the context of physical sexual</w:t>
            </w:r>
            <w:r w:rsidR="00CB6A25" w:rsidRPr="00E51FA9">
              <w:rPr>
                <w:rFonts w:eastAsia="Calibri"/>
                <w:sz w:val="22"/>
                <w:szCs w:val="22"/>
              </w:rPr>
              <w:t xml:space="preserve"> and verbal abuse </w:t>
            </w:r>
          </w:p>
        </w:tc>
        <w:tc>
          <w:tcPr>
            <w:tcW w:w="738" w:type="pct"/>
            <w:shd w:val="clear" w:color="auto" w:fill="auto"/>
          </w:tcPr>
          <w:p w14:paraId="7B061B68" w14:textId="60E413D2" w:rsidR="00CB6A25" w:rsidRPr="00E51FA9" w:rsidRDefault="00CB6A25" w:rsidP="005D22CA">
            <w:pPr>
              <w:spacing w:after="120" w:line="276" w:lineRule="auto"/>
              <w:rPr>
                <w:rFonts w:eastAsia="Calibri"/>
                <w:sz w:val="22"/>
                <w:szCs w:val="22"/>
              </w:rPr>
            </w:pPr>
            <w:r w:rsidRPr="00E51FA9">
              <w:rPr>
                <w:sz w:val="22"/>
                <w:szCs w:val="22"/>
                <w:shd w:val="clear" w:color="auto" w:fill="FFFFFF"/>
              </w:rPr>
              <w:t>96 video scenarios</w:t>
            </w:r>
            <w:r w:rsidRPr="00E51FA9">
              <w:rPr>
                <w:sz w:val="22"/>
                <w:szCs w:val="22"/>
                <w:shd w:val="clear" w:color="auto" w:fill="FFFFFF"/>
                <w:rtl/>
                <w:lang w:bidi="he-IL"/>
              </w:rPr>
              <w:t>:</w:t>
            </w:r>
            <w:r w:rsidRPr="00E51FA9">
              <w:rPr>
                <w:sz w:val="22"/>
                <w:szCs w:val="22"/>
                <w:shd w:val="clear" w:color="auto" w:fill="FFFFFF"/>
              </w:rPr>
              <w:t xml:space="preserve"> 48 presented appropriate and 48 inappropriate interactions with staff. After the presentation of each scenario the participants w</w:t>
            </w:r>
            <w:r w:rsidR="001F4322">
              <w:rPr>
                <w:sz w:val="22"/>
                <w:szCs w:val="22"/>
                <w:shd w:val="clear" w:color="auto" w:fill="FFFFFF"/>
              </w:rPr>
              <w:t>ere</w:t>
            </w:r>
            <w:r w:rsidRPr="00E51FA9">
              <w:rPr>
                <w:sz w:val="22"/>
                <w:szCs w:val="22"/>
                <w:shd w:val="clear" w:color="auto" w:fill="FFFFFF"/>
              </w:rPr>
              <w:t xml:space="preserve"> asked to act out how </w:t>
            </w:r>
            <w:r w:rsidR="001F4322">
              <w:rPr>
                <w:sz w:val="22"/>
                <w:szCs w:val="22"/>
                <w:shd w:val="clear" w:color="auto" w:fill="FFFFFF"/>
              </w:rPr>
              <w:t>t</w:t>
            </w:r>
            <w:r w:rsidRPr="00E51FA9">
              <w:rPr>
                <w:sz w:val="22"/>
                <w:szCs w:val="22"/>
                <w:shd w:val="clear" w:color="auto" w:fill="FFFFFF"/>
              </w:rPr>
              <w:t>he</w:t>
            </w:r>
            <w:r w:rsidR="001F4322">
              <w:rPr>
                <w:sz w:val="22"/>
                <w:szCs w:val="22"/>
                <w:shd w:val="clear" w:color="auto" w:fill="FFFFFF"/>
              </w:rPr>
              <w:t>y</w:t>
            </w:r>
            <w:r w:rsidRPr="00E51FA9">
              <w:rPr>
                <w:sz w:val="22"/>
                <w:szCs w:val="22"/>
                <w:shd w:val="clear" w:color="auto" w:fill="FFFFFF"/>
              </w:rPr>
              <w:t xml:space="preserve"> would react. When the participant responded to the situation, the observer used a 12-step task analysis to score performance. </w:t>
            </w:r>
          </w:p>
        </w:tc>
        <w:tc>
          <w:tcPr>
            <w:tcW w:w="562" w:type="pct"/>
            <w:shd w:val="clear" w:color="auto" w:fill="auto"/>
          </w:tcPr>
          <w:p w14:paraId="34564D4F" w14:textId="0ABBE80F" w:rsidR="00CB6A25" w:rsidRPr="00E51FA9" w:rsidRDefault="00CB6A25" w:rsidP="0039445C">
            <w:pPr>
              <w:spacing w:after="120" w:line="276" w:lineRule="auto"/>
              <w:rPr>
                <w:rFonts w:eastAsia="Calibri"/>
                <w:sz w:val="22"/>
                <w:szCs w:val="22"/>
              </w:rPr>
            </w:pPr>
            <w:r w:rsidRPr="00E51FA9">
              <w:rPr>
                <w:rFonts w:eastAsia="Calibri"/>
                <w:sz w:val="22"/>
                <w:szCs w:val="22"/>
              </w:rPr>
              <w:t>Cohort (pre- and post</w:t>
            </w:r>
            <w:r w:rsidR="0039445C">
              <w:rPr>
                <w:rFonts w:eastAsia="Calibri"/>
                <w:sz w:val="22"/>
                <w:szCs w:val="22"/>
              </w:rPr>
              <w:t>-</w:t>
            </w:r>
            <w:r w:rsidRPr="00E51FA9">
              <w:rPr>
                <w:rFonts w:eastAsia="Calibri"/>
                <w:sz w:val="22"/>
                <w:szCs w:val="22"/>
              </w:rPr>
              <w:t>intervention with no control group</w:t>
            </w:r>
            <w:r w:rsidR="001F4322">
              <w:rPr>
                <w:rFonts w:eastAsia="Calibri"/>
                <w:sz w:val="22"/>
                <w:szCs w:val="22"/>
              </w:rPr>
              <w:t>)</w:t>
            </w:r>
          </w:p>
        </w:tc>
        <w:tc>
          <w:tcPr>
            <w:tcW w:w="1399" w:type="pct"/>
            <w:shd w:val="clear" w:color="auto" w:fill="auto"/>
          </w:tcPr>
          <w:p w14:paraId="6DE09228" w14:textId="7F84BEBC" w:rsidR="00CB6A25" w:rsidRPr="00E51FA9" w:rsidRDefault="00CB6A25" w:rsidP="001F4322">
            <w:pPr>
              <w:spacing w:after="120" w:line="276" w:lineRule="auto"/>
              <w:rPr>
                <w:rFonts w:eastAsia="Calibri"/>
                <w:sz w:val="22"/>
                <w:szCs w:val="22"/>
                <w:lang w:bidi="he-IL"/>
              </w:rPr>
            </w:pPr>
            <w:r w:rsidRPr="00E51FA9">
              <w:rPr>
                <w:rFonts w:eastAsia="Calibri"/>
                <w:sz w:val="22"/>
                <w:szCs w:val="22"/>
              </w:rPr>
              <w:t>The reporting skill included making a self-advocacy response, walking away, and reporting the interaction. Participants' performance was measured during baseline, post-testing, 2- and 4-</w:t>
            </w:r>
            <w:r w:rsidR="001F4322">
              <w:rPr>
                <w:rFonts w:eastAsia="Calibri"/>
                <w:sz w:val="22"/>
                <w:szCs w:val="22"/>
              </w:rPr>
              <w:t xml:space="preserve">week </w:t>
            </w:r>
            <w:r w:rsidR="00861FCE">
              <w:rPr>
                <w:rFonts w:eastAsia="Calibri"/>
                <w:sz w:val="22"/>
                <w:szCs w:val="22"/>
              </w:rPr>
              <w:t>intervals</w:t>
            </w:r>
            <w:r w:rsidR="001F4322">
              <w:rPr>
                <w:rFonts w:eastAsia="Calibri"/>
                <w:sz w:val="22"/>
                <w:szCs w:val="22"/>
              </w:rPr>
              <w:t>.</w:t>
            </w:r>
            <w:r w:rsidRPr="00E51FA9">
              <w:rPr>
                <w:rFonts w:eastAsia="Calibri"/>
                <w:sz w:val="22"/>
                <w:szCs w:val="22"/>
                <w:lang w:bidi="he-IL"/>
              </w:rPr>
              <w:t xml:space="preserve"> </w:t>
            </w:r>
            <w:r w:rsidR="001F4322">
              <w:rPr>
                <w:rFonts w:eastAsia="Calibri"/>
                <w:sz w:val="22"/>
                <w:szCs w:val="22"/>
              </w:rPr>
              <w:t>P</w:t>
            </w:r>
            <w:r w:rsidRPr="00E51FA9">
              <w:rPr>
                <w:rFonts w:eastAsia="Calibri"/>
                <w:sz w:val="22"/>
                <w:szCs w:val="22"/>
              </w:rPr>
              <w:t>articipants learned reporting skills, maintained these skills at 2- and 4-week follow-up, and generalized the skills to novel stimulus situations.</w:t>
            </w:r>
          </w:p>
        </w:tc>
      </w:tr>
    </w:tbl>
    <w:p w14:paraId="233B0B73" w14:textId="77777777" w:rsidR="00CB6A25" w:rsidRPr="00E51FA9" w:rsidRDefault="00CB6A25" w:rsidP="00AB6044">
      <w:pPr>
        <w:spacing w:after="120" w:line="360" w:lineRule="auto"/>
        <w:rPr>
          <w:sz w:val="24"/>
          <w:szCs w:val="24"/>
        </w:rPr>
      </w:pPr>
    </w:p>
    <w:p w14:paraId="2B3311B2" w14:textId="77777777" w:rsidR="00CB6A25" w:rsidRPr="00E51FA9" w:rsidRDefault="00CB6A25" w:rsidP="00AB6044">
      <w:pPr>
        <w:spacing w:after="120" w:line="360" w:lineRule="auto"/>
        <w:rPr>
          <w:sz w:val="24"/>
          <w:szCs w:val="24"/>
        </w:rPr>
      </w:pPr>
    </w:p>
    <w:p w14:paraId="22E96EEB" w14:textId="77777777" w:rsidR="00CB6A25" w:rsidRPr="00E51FA9" w:rsidRDefault="00CB6A25">
      <w:pPr>
        <w:spacing w:after="200" w:line="276" w:lineRule="auto"/>
        <w:rPr>
          <w:rFonts w:asciiTheme="majorBidi" w:hAnsiTheme="majorBidi" w:cstheme="majorBidi"/>
          <w:b/>
          <w:bCs/>
          <w:i/>
          <w:sz w:val="24"/>
          <w:szCs w:val="24"/>
        </w:rPr>
        <w:sectPr w:rsidR="00CB6A25" w:rsidRPr="00E51FA9" w:rsidSect="00CD28D7">
          <w:headerReference w:type="default" r:id="rId19"/>
          <w:headerReference w:type="first" r:id="rId20"/>
          <w:pgSz w:w="16838" w:h="11906" w:orient="landscape"/>
          <w:pgMar w:top="1080" w:right="1440" w:bottom="1080" w:left="1440" w:header="708" w:footer="708" w:gutter="0"/>
          <w:cols w:space="708"/>
          <w:titlePg/>
          <w:docGrid w:linePitch="360"/>
        </w:sectPr>
      </w:pPr>
    </w:p>
    <w:p w14:paraId="29E5AC72" w14:textId="229D575C" w:rsidR="00A44B87" w:rsidRPr="00E51FA9" w:rsidRDefault="00A44B87" w:rsidP="0019074D">
      <w:pPr>
        <w:spacing w:after="200" w:line="276" w:lineRule="auto"/>
        <w:outlineLvl w:val="0"/>
        <w:rPr>
          <w:rFonts w:asciiTheme="majorBidi" w:hAnsiTheme="majorBidi" w:cstheme="majorBidi"/>
          <w:b/>
          <w:bCs/>
          <w:i/>
          <w:sz w:val="24"/>
          <w:szCs w:val="24"/>
        </w:rPr>
      </w:pPr>
      <w:r w:rsidRPr="00E51FA9">
        <w:rPr>
          <w:rFonts w:asciiTheme="majorBidi" w:hAnsiTheme="majorBidi" w:cstheme="majorBidi"/>
          <w:b/>
          <w:bCs/>
          <w:i/>
          <w:sz w:val="24"/>
          <w:szCs w:val="24"/>
        </w:rPr>
        <w:lastRenderedPageBreak/>
        <w:t>Analysis</w:t>
      </w:r>
    </w:p>
    <w:p w14:paraId="6B15511A"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The systematic search for evaluations of the effectiveness of interventions to prevent abuse against persons with</w:t>
      </w:r>
      <w:r w:rsidRPr="00E51FA9">
        <w:rPr>
          <w:rFonts w:asciiTheme="majorBidi" w:hAnsiTheme="majorBidi" w:cstheme="majorBidi"/>
          <w:sz w:val="24"/>
          <w:szCs w:val="24"/>
          <w:lang w:bidi="he-IL"/>
        </w:rPr>
        <w:t xml:space="preserve"> </w:t>
      </w:r>
      <w:r w:rsidRPr="00E51FA9">
        <w:rPr>
          <w:rFonts w:asciiTheme="majorBidi" w:hAnsiTheme="majorBidi" w:cstheme="majorBidi"/>
          <w:sz w:val="24"/>
          <w:szCs w:val="24"/>
        </w:rPr>
        <w:t>intellectual disabilities identified</w:t>
      </w:r>
      <w:r w:rsidRPr="00E51FA9">
        <w:rPr>
          <w:rFonts w:asciiTheme="majorBidi" w:hAnsiTheme="majorBidi" w:cstheme="majorBidi"/>
          <w:sz w:val="24"/>
          <w:szCs w:val="24"/>
          <w:lang w:bidi="he-IL"/>
        </w:rPr>
        <w:t xml:space="preserve"> six</w:t>
      </w:r>
      <w:r w:rsidRPr="00E51FA9">
        <w:rPr>
          <w:rFonts w:asciiTheme="majorBidi" w:hAnsiTheme="majorBidi" w:cstheme="majorBidi"/>
          <w:sz w:val="24"/>
          <w:szCs w:val="24"/>
        </w:rPr>
        <w:t xml:space="preserve"> studies that met the inclusion criteria. Three of them evaluated</w:t>
      </w:r>
      <w:r w:rsidRPr="00E51FA9">
        <w:rPr>
          <w:rFonts w:asciiTheme="majorBidi" w:hAnsiTheme="majorBidi" w:cstheme="majorBidi"/>
          <w:sz w:val="24"/>
          <w:szCs w:val="24"/>
          <w:lang w:bidi="he-IL"/>
        </w:rPr>
        <w:t xml:space="preserve"> interventions that </w:t>
      </w:r>
      <w:r w:rsidRPr="00E51FA9">
        <w:rPr>
          <w:rFonts w:asciiTheme="majorBidi" w:hAnsiTheme="majorBidi" w:cstheme="majorBidi"/>
          <w:sz w:val="24"/>
          <w:szCs w:val="24"/>
        </w:rPr>
        <w:t xml:space="preserve">were specifically designed to prevent sexual abuse and three broadly addressed various forms of violence and abuse. </w:t>
      </w:r>
    </w:p>
    <w:p w14:paraId="2BD53B6C" w14:textId="2B5E7115"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Half of the intervention programs targeted women with intellectual disabilities, focusing mainly on promoting safety, knowledge and skills related to sexuality (</w:t>
      </w:r>
      <w:r w:rsidR="006964CA" w:rsidRPr="00E51FA9">
        <w:rPr>
          <w:rFonts w:asciiTheme="majorBidi" w:hAnsiTheme="majorBidi" w:cstheme="majorBidi"/>
          <w:sz w:val="24"/>
          <w:szCs w:val="24"/>
        </w:rPr>
        <w:t>Bollman et al., 2009</w:t>
      </w:r>
      <w:r w:rsidR="006964CA">
        <w:rPr>
          <w:rFonts w:asciiTheme="majorBidi" w:hAnsiTheme="majorBidi" w:cstheme="majorBidi"/>
          <w:sz w:val="24"/>
          <w:szCs w:val="24"/>
        </w:rPr>
        <w:t xml:space="preserve">; </w:t>
      </w:r>
      <w:r w:rsidRPr="00E51FA9">
        <w:rPr>
          <w:rFonts w:asciiTheme="majorBidi" w:hAnsiTheme="majorBidi" w:cstheme="majorBidi"/>
          <w:sz w:val="24"/>
          <w:szCs w:val="24"/>
        </w:rPr>
        <w:t>Egemo</w:t>
      </w:r>
      <w:r w:rsidR="00FA227D">
        <w:rPr>
          <w:rFonts w:asciiTheme="majorBidi" w:hAnsiTheme="majorBidi" w:cstheme="majorBidi"/>
          <w:sz w:val="24"/>
          <w:szCs w:val="24"/>
        </w:rPr>
        <w:t>-Helm</w:t>
      </w:r>
      <w:r w:rsidRPr="00E51FA9">
        <w:rPr>
          <w:rFonts w:asciiTheme="majorBidi" w:hAnsiTheme="majorBidi" w:cstheme="majorBidi"/>
          <w:sz w:val="24"/>
          <w:szCs w:val="24"/>
        </w:rPr>
        <w:t xml:space="preserve"> et al., 2007; Peckham et al., 2007). Interestingly, despite the fact that prevalence studies suggest that most incidents of abuse of people with intellectual disability occur within the disability service systems and care relationships, only one program specifically addressed the issue of abuse in the context of care services (Bollman et a</w:t>
      </w:r>
      <w:r w:rsidR="00FA227D">
        <w:rPr>
          <w:rFonts w:asciiTheme="majorBidi" w:hAnsiTheme="majorBidi" w:cstheme="majorBidi"/>
          <w:sz w:val="24"/>
          <w:szCs w:val="24"/>
        </w:rPr>
        <w:t>l</w:t>
      </w:r>
      <w:r w:rsidRPr="00E51FA9">
        <w:rPr>
          <w:rFonts w:asciiTheme="majorBidi" w:hAnsiTheme="majorBidi" w:cstheme="majorBidi"/>
          <w:sz w:val="24"/>
          <w:szCs w:val="24"/>
        </w:rPr>
        <w:t xml:space="preserve">., 2009). All but one were primary prevention strategies targeting the individual level and included a small sample of participants with mild to moderate intellectual disability, where most participants had relatively good communication skills. Egemo-Helm et al. (2007) explicitly noted the relatively competent level of their participants’ communication skills, using terms such as ‘good’, ‘adequate’ and ‘sufficient’. </w:t>
      </w:r>
    </w:p>
    <w:p w14:paraId="2E556425" w14:textId="72DB21AB"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In most cases evaluations were quantitative and focused on measuring changes to knowledge, attitude and behaviour through use of role-play, vignettes or in-situ situations. While some studies evaluated the outcome maintenance using follow-up evaluation (up to three months), none monitored the longer-term impact and maintenance of the outcomes over time. Moreover, none of the studies aimed to generalise skills and thus failed to establish that the training programs evaluated were effective in preventing violence and abuse in the real wo</w:t>
      </w:r>
      <w:r w:rsidR="00CD28D7" w:rsidRPr="00E51FA9">
        <w:rPr>
          <w:rFonts w:asciiTheme="majorBidi" w:hAnsiTheme="majorBidi" w:cstheme="majorBidi"/>
          <w:sz w:val="24"/>
          <w:szCs w:val="24"/>
        </w:rPr>
        <w:t>rld. The studies summarised in T</w:t>
      </w:r>
      <w:r w:rsidRPr="00E51FA9">
        <w:rPr>
          <w:rFonts w:asciiTheme="majorBidi" w:hAnsiTheme="majorBidi" w:cstheme="majorBidi"/>
          <w:sz w:val="24"/>
          <w:szCs w:val="24"/>
        </w:rPr>
        <w:t>able 1 can be categorised into three groups based on method of training and target population:</w:t>
      </w:r>
    </w:p>
    <w:p w14:paraId="1CEFA4FA" w14:textId="77777777" w:rsidR="00A44B87" w:rsidRPr="00E51FA9" w:rsidRDefault="00A44B87" w:rsidP="00A44B87">
      <w:pPr>
        <w:numPr>
          <w:ilvl w:val="0"/>
          <w:numId w:val="2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Behavioural-skills training (Egemo-Helm et al., 2007)</w:t>
      </w:r>
    </w:p>
    <w:p w14:paraId="3098D3E0" w14:textId="77777777" w:rsidR="00A44B87" w:rsidRPr="00E51FA9" w:rsidRDefault="00A44B87" w:rsidP="00A44B87">
      <w:pPr>
        <w:numPr>
          <w:ilvl w:val="0"/>
          <w:numId w:val="2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Training using a cognitively oriented, decision-making approach (Hickson et al., 2015).</w:t>
      </w:r>
    </w:p>
    <w:p w14:paraId="72051608" w14:textId="6124F04B" w:rsidR="00A44B87" w:rsidRPr="00E51FA9" w:rsidRDefault="00A44B87" w:rsidP="00A44B87">
      <w:pPr>
        <w:numPr>
          <w:ilvl w:val="0"/>
          <w:numId w:val="2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Psycho-edu</w:t>
      </w:r>
      <w:r w:rsidR="00FA227D">
        <w:rPr>
          <w:rFonts w:asciiTheme="majorBidi" w:eastAsia="Calibri" w:hAnsiTheme="majorBidi" w:cstheme="majorBidi"/>
          <w:sz w:val="24"/>
          <w:szCs w:val="24"/>
        </w:rPr>
        <w:t xml:space="preserve">cation training for care staff and or </w:t>
      </w:r>
      <w:r w:rsidRPr="00E51FA9">
        <w:rPr>
          <w:rFonts w:asciiTheme="majorBidi" w:eastAsia="Calibri" w:hAnsiTheme="majorBidi" w:cstheme="majorBidi"/>
          <w:sz w:val="24"/>
          <w:szCs w:val="24"/>
        </w:rPr>
        <w:t>individuals with intellectual disabilities (Bollman et al.  2009; Bowman et al., 2010; Lund &amp; Hammond, 2014; Peckham et al., 2007).</w:t>
      </w:r>
    </w:p>
    <w:p w14:paraId="482B330E" w14:textId="77777777" w:rsidR="00A44B87" w:rsidRPr="00E51FA9" w:rsidRDefault="00A44B87" w:rsidP="00A44B87">
      <w:pPr>
        <w:spacing w:line="360" w:lineRule="auto"/>
        <w:rPr>
          <w:sz w:val="24"/>
          <w:szCs w:val="24"/>
        </w:rPr>
      </w:pPr>
      <w:r w:rsidRPr="00E51FA9">
        <w:rPr>
          <w:sz w:val="24"/>
          <w:szCs w:val="24"/>
        </w:rPr>
        <w:t>To provide a greater understanding of the assessment, training, and testing tactics used in these six studies, a representative one from category is described:</w:t>
      </w:r>
    </w:p>
    <w:p w14:paraId="3C528D8F" w14:textId="30210853" w:rsidR="00A44B87" w:rsidRPr="00E51FA9" w:rsidRDefault="001531CC" w:rsidP="0019074D">
      <w:pPr>
        <w:spacing w:after="120" w:line="360" w:lineRule="auto"/>
        <w:outlineLvl w:val="0"/>
        <w:rPr>
          <w:rFonts w:asciiTheme="majorBidi" w:hAnsiTheme="majorBidi" w:cstheme="majorBidi"/>
          <w:sz w:val="24"/>
          <w:szCs w:val="24"/>
        </w:rPr>
      </w:pPr>
      <w:r w:rsidRPr="00E51FA9">
        <w:rPr>
          <w:rFonts w:asciiTheme="majorBidi" w:hAnsiTheme="majorBidi" w:cstheme="majorBidi"/>
          <w:b/>
          <w:i/>
          <w:iCs/>
          <w:sz w:val="24"/>
          <w:szCs w:val="24"/>
        </w:rPr>
        <w:t>Behavioural</w:t>
      </w:r>
      <w:r w:rsidR="00A44B87" w:rsidRPr="00E51FA9">
        <w:rPr>
          <w:rFonts w:asciiTheme="majorBidi" w:hAnsiTheme="majorBidi" w:cstheme="majorBidi"/>
          <w:b/>
          <w:i/>
          <w:iCs/>
          <w:sz w:val="24"/>
          <w:szCs w:val="24"/>
        </w:rPr>
        <w:t xml:space="preserve"> -</w:t>
      </w:r>
      <w:r w:rsidR="005B3587">
        <w:rPr>
          <w:rFonts w:asciiTheme="majorBidi" w:hAnsiTheme="majorBidi" w:cstheme="majorBidi"/>
          <w:b/>
          <w:i/>
          <w:iCs/>
          <w:sz w:val="24"/>
          <w:szCs w:val="24"/>
        </w:rPr>
        <w:t xml:space="preserve"> </w:t>
      </w:r>
      <w:r w:rsidR="00A44B87" w:rsidRPr="00E51FA9">
        <w:rPr>
          <w:rFonts w:asciiTheme="majorBidi" w:hAnsiTheme="majorBidi" w:cstheme="majorBidi"/>
          <w:b/>
          <w:i/>
          <w:iCs/>
          <w:sz w:val="24"/>
          <w:szCs w:val="24"/>
        </w:rPr>
        <w:t>skills training</w:t>
      </w:r>
    </w:p>
    <w:p w14:paraId="460D68E3" w14:textId="3A6A75F4"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Egemo-Helm et al. (2007) employed behavioural-skills training of appropriate recognition and response to sexual abuse situation</w:t>
      </w:r>
      <w:r w:rsidR="0040628E">
        <w:rPr>
          <w:rFonts w:asciiTheme="majorBidi" w:hAnsiTheme="majorBidi" w:cstheme="majorBidi"/>
          <w:sz w:val="24"/>
          <w:szCs w:val="24"/>
        </w:rPr>
        <w:t>s</w:t>
      </w:r>
      <w:r w:rsidRPr="00E51FA9">
        <w:rPr>
          <w:rFonts w:asciiTheme="majorBidi" w:hAnsiTheme="majorBidi" w:cstheme="majorBidi"/>
          <w:sz w:val="24"/>
          <w:szCs w:val="24"/>
        </w:rPr>
        <w:t>.</w:t>
      </w:r>
    </w:p>
    <w:p w14:paraId="0B7DA050"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lastRenderedPageBreak/>
        <w:t>Intervention</w:t>
      </w:r>
      <w:r w:rsidRPr="00E51FA9">
        <w:rPr>
          <w:rFonts w:asciiTheme="majorBidi" w:hAnsiTheme="majorBidi" w:cstheme="majorBidi"/>
          <w:sz w:val="24"/>
          <w:szCs w:val="24"/>
        </w:rPr>
        <w:t xml:space="preserve">: three one hour training sessions were designed to increase participants awareness of sexual abuse situations and promote an effective response. This was defined as saying ‘no’ or verbally refusing, leaving a situation or telling the other person to leave, and reporting the incident to a trusted staff member. Trainers brieﬂy discussed private body parts, described the difference between a sexual abuse situation and an innocuous situation, described appropriate and inappropriate relationships, and identiﬁed examples of each. The trainers described and modelled the appropriate behaviours for the participants. The participants actively rehearsed the correct responses in role-plays of sexual solicitations with the trainers, and received praise for correct performance of the skills and corrective feedback as needed. Training continued until the participants demonstrated the safety skills in response to all of the lures in role-play scenarios without assistance. </w:t>
      </w:r>
    </w:p>
    <w:p w14:paraId="6D7BDA5A"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Researchers conducted an in-situ assessment for each participant within a week of the third training session. The assessment evaluated behaviour in a natural setting when participants were unaware they were being assessed. They were approached by a confederate, in a location such as a park or front yard, who presented an abduction lure. If the participant failed to respond with the desired behaviour, in-situ training was immediately implemented. The trainer then described and modelled the correct response in that scenario. After modelling, the trainer instructed the participant to rehearse the scenario a number of times until they performed the correct responses in at least ﬁve consecutive role-plays. </w:t>
      </w:r>
    </w:p>
    <w:p w14:paraId="43749EDD"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t>Evaluation of the intervention</w:t>
      </w:r>
      <w:r w:rsidRPr="00E51FA9">
        <w:rPr>
          <w:rFonts w:asciiTheme="majorBidi" w:hAnsiTheme="majorBidi" w:cstheme="majorBidi"/>
          <w:sz w:val="24"/>
          <w:szCs w:val="24"/>
        </w:rPr>
        <w:t>: an across subject design was employed. Seven women with mild intellectual disabilities participated in the skills training program. Their responses to self-report knowledge, role-plays, vignettes and in-situ assessments were evaluated using the same measures, before and three weeks,</w:t>
      </w:r>
      <w:r w:rsidRPr="00E51FA9">
        <w:t xml:space="preserve"> </w:t>
      </w:r>
      <w:r w:rsidRPr="00E51FA9">
        <w:rPr>
          <w:rFonts w:asciiTheme="majorBidi" w:hAnsiTheme="majorBidi" w:cstheme="majorBidi"/>
          <w:sz w:val="24"/>
          <w:szCs w:val="24"/>
        </w:rPr>
        <w:t xml:space="preserve">one month and three months following the completion of the training. </w:t>
      </w:r>
    </w:p>
    <w:p w14:paraId="6BFF5AFA" w14:textId="13FEF143" w:rsidR="00A44B87" w:rsidRPr="00E51FA9" w:rsidRDefault="00A44B87" w:rsidP="00A44B87">
      <w:pPr>
        <w:spacing w:after="120" w:line="360" w:lineRule="auto"/>
        <w:rPr>
          <w:rFonts w:asciiTheme="majorBidi" w:hAnsiTheme="majorBidi" w:cstheme="majorBidi"/>
          <w:sz w:val="24"/>
          <w:szCs w:val="24"/>
          <w:rtl/>
        </w:rPr>
      </w:pPr>
      <w:r w:rsidRPr="00E51FA9">
        <w:rPr>
          <w:rFonts w:asciiTheme="majorBidi" w:hAnsiTheme="majorBidi" w:cstheme="majorBidi"/>
          <w:i/>
          <w:sz w:val="24"/>
          <w:szCs w:val="24"/>
        </w:rPr>
        <w:t>Research findings</w:t>
      </w:r>
      <w:r w:rsidRPr="00E51FA9">
        <w:rPr>
          <w:rFonts w:asciiTheme="majorBidi" w:hAnsiTheme="majorBidi" w:cstheme="majorBidi"/>
          <w:sz w:val="24"/>
          <w:szCs w:val="24"/>
        </w:rPr>
        <w:t>: Four women completed both the intervention and assessment. The assessment revealed increased presentation of safety skills and maintenance of knowledge and skills. However, the amount of in-situ training varied widely among the four participants suggesting that interventions with individuals with intellectual disability need to be individually tailored to each participants’ ability. However, it should be noted that, due to discomfort with the in-situ training only 4 of the 7 women completed the intervention. This suggest</w:t>
      </w:r>
      <w:r w:rsidR="0003285E">
        <w:rPr>
          <w:rFonts w:asciiTheme="majorBidi" w:hAnsiTheme="majorBidi" w:cstheme="majorBidi"/>
          <w:sz w:val="24"/>
          <w:szCs w:val="24"/>
        </w:rPr>
        <w:t>s</w:t>
      </w:r>
      <w:r w:rsidRPr="00E51FA9">
        <w:rPr>
          <w:rFonts w:asciiTheme="majorBidi" w:hAnsiTheme="majorBidi" w:cstheme="majorBidi"/>
          <w:sz w:val="24"/>
          <w:szCs w:val="24"/>
        </w:rPr>
        <w:t xml:space="preserve"> that this type of training may pose risks of psychological harm to individuals with intellectual disabilities by exposing them to demonstration</w:t>
      </w:r>
      <w:r w:rsidR="0040628E">
        <w:rPr>
          <w:rFonts w:asciiTheme="majorBidi" w:hAnsiTheme="majorBidi" w:cstheme="majorBidi"/>
          <w:sz w:val="24"/>
          <w:szCs w:val="24"/>
        </w:rPr>
        <w:t>s</w:t>
      </w:r>
      <w:r w:rsidRPr="00E51FA9">
        <w:rPr>
          <w:rFonts w:asciiTheme="majorBidi" w:hAnsiTheme="majorBidi" w:cstheme="majorBidi"/>
          <w:sz w:val="24"/>
          <w:szCs w:val="24"/>
        </w:rPr>
        <w:t xml:space="preserve"> of abusive situation</w:t>
      </w:r>
      <w:r w:rsidR="0040628E">
        <w:rPr>
          <w:rFonts w:asciiTheme="majorBidi" w:hAnsiTheme="majorBidi" w:cstheme="majorBidi"/>
          <w:sz w:val="24"/>
          <w:szCs w:val="24"/>
        </w:rPr>
        <w:t>s</w:t>
      </w:r>
      <w:r w:rsidRPr="00E51FA9">
        <w:rPr>
          <w:rFonts w:asciiTheme="majorBidi" w:hAnsiTheme="majorBidi" w:cstheme="majorBidi"/>
          <w:sz w:val="24"/>
          <w:szCs w:val="24"/>
        </w:rPr>
        <w:t>, and participants need to be closely monitored for signs of psychological distress during the intervention period</w:t>
      </w:r>
      <w:r w:rsidRPr="00E51FA9">
        <w:t xml:space="preserve"> (</w:t>
      </w:r>
      <w:r w:rsidRPr="00E51FA9">
        <w:rPr>
          <w:rFonts w:asciiTheme="majorBidi" w:hAnsiTheme="majorBidi" w:cstheme="majorBidi"/>
          <w:sz w:val="24"/>
          <w:szCs w:val="24"/>
        </w:rPr>
        <w:t>Barger et al., 2009</w:t>
      </w:r>
      <w:r w:rsidR="002F734E">
        <w:rPr>
          <w:rFonts w:asciiTheme="majorBidi" w:hAnsiTheme="majorBidi" w:cstheme="majorBidi"/>
          <w:sz w:val="24"/>
          <w:szCs w:val="24"/>
        </w:rPr>
        <w:t>; Doughty et al.</w:t>
      </w:r>
      <w:r w:rsidR="002F734E" w:rsidRPr="002F734E">
        <w:rPr>
          <w:rFonts w:asciiTheme="majorBidi" w:hAnsiTheme="majorBidi" w:cstheme="majorBidi"/>
          <w:sz w:val="24"/>
          <w:szCs w:val="24"/>
        </w:rPr>
        <w:t>,</w:t>
      </w:r>
      <w:r w:rsidR="002F734E">
        <w:rPr>
          <w:rFonts w:asciiTheme="majorBidi" w:hAnsiTheme="majorBidi" w:cstheme="majorBidi"/>
          <w:sz w:val="24"/>
          <w:szCs w:val="24"/>
        </w:rPr>
        <w:t xml:space="preserve"> </w:t>
      </w:r>
      <w:r w:rsidR="002F734E" w:rsidRPr="002F734E">
        <w:rPr>
          <w:rFonts w:asciiTheme="majorBidi" w:hAnsiTheme="majorBidi" w:cstheme="majorBidi"/>
          <w:sz w:val="24"/>
          <w:szCs w:val="24"/>
        </w:rPr>
        <w:t>2010</w:t>
      </w:r>
      <w:r w:rsidRPr="00E51FA9">
        <w:rPr>
          <w:rFonts w:asciiTheme="majorBidi" w:hAnsiTheme="majorBidi" w:cstheme="majorBidi"/>
          <w:sz w:val="24"/>
          <w:szCs w:val="24"/>
        </w:rPr>
        <w:t>).</w:t>
      </w:r>
    </w:p>
    <w:p w14:paraId="3E5208BB" w14:textId="77777777" w:rsidR="00A44B87" w:rsidRPr="00E51FA9" w:rsidRDefault="00A44B87" w:rsidP="00A44B87">
      <w:pPr>
        <w:spacing w:after="120" w:line="360" w:lineRule="auto"/>
        <w:rPr>
          <w:rFonts w:asciiTheme="majorBidi" w:hAnsiTheme="majorBidi" w:cstheme="majorBidi"/>
          <w:b/>
          <w:i/>
          <w:iCs/>
          <w:sz w:val="24"/>
          <w:szCs w:val="24"/>
        </w:rPr>
      </w:pPr>
    </w:p>
    <w:p w14:paraId="6C25B497" w14:textId="77777777" w:rsidR="00A44B87" w:rsidRPr="00E51FA9" w:rsidRDefault="00A44B87" w:rsidP="0019074D">
      <w:pPr>
        <w:spacing w:after="120" w:line="360" w:lineRule="auto"/>
        <w:outlineLvl w:val="0"/>
        <w:rPr>
          <w:rFonts w:asciiTheme="majorBidi" w:hAnsiTheme="majorBidi" w:cstheme="majorBidi"/>
          <w:b/>
          <w:i/>
          <w:iCs/>
          <w:sz w:val="24"/>
          <w:szCs w:val="24"/>
        </w:rPr>
      </w:pPr>
      <w:r w:rsidRPr="00E51FA9">
        <w:rPr>
          <w:rFonts w:asciiTheme="majorBidi" w:hAnsiTheme="majorBidi" w:cstheme="majorBidi"/>
          <w:b/>
          <w:i/>
          <w:iCs/>
          <w:sz w:val="24"/>
          <w:szCs w:val="24"/>
        </w:rPr>
        <w:lastRenderedPageBreak/>
        <w:t>Training based on a cognitively oriented, decision-making approach</w:t>
      </w:r>
    </w:p>
    <w:p w14:paraId="7D8DE9B5"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Hickson et al., (2015) evaluated the effectiveness of ESCAPE-DD (An Effective Strategy-Based Curriculum for Abuse Prevention and Empowerment) to assess its impact on the decision-making skills of adults with intellectual disabilities in hypothetical situations of </w:t>
      </w:r>
      <w:r w:rsidRPr="00E51FA9">
        <w:rPr>
          <w:rFonts w:asciiTheme="majorBidi" w:hAnsiTheme="majorBidi" w:cstheme="majorBidi"/>
          <w:sz w:val="24"/>
          <w:szCs w:val="24"/>
          <w:lang w:bidi="he-IL"/>
        </w:rPr>
        <w:t>sexual, physical or psychological abuse.</w:t>
      </w:r>
      <w:r w:rsidRPr="00E51FA9">
        <w:rPr>
          <w:rFonts w:asciiTheme="majorBidi" w:hAnsiTheme="majorBidi" w:cstheme="majorBidi"/>
          <w:sz w:val="24"/>
          <w:szCs w:val="24"/>
        </w:rPr>
        <w:t xml:space="preserve"> The curriculum aimed to teach effective decision-making strategies to individuals with mild to moderate intellectual disabilities, for them to recognise and appropriately respond to a wide array of abuse situations in which the perpetrator of the abuse is someone familiar to the person. </w:t>
      </w:r>
    </w:p>
    <w:p w14:paraId="484BB17A" w14:textId="65C244BD"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t>Intervention</w:t>
      </w:r>
      <w:r w:rsidRPr="00E51FA9">
        <w:rPr>
          <w:rFonts w:asciiTheme="majorBidi" w:hAnsiTheme="majorBidi" w:cstheme="majorBidi"/>
          <w:sz w:val="24"/>
          <w:szCs w:val="24"/>
        </w:rPr>
        <w:t>: 12 small-group instructional sessions employing the ESCAPE-DD curriculum. The ESCAPE-DD intervention includes two units addressing the interplay between cognitive, motivational and emotional proc</w:t>
      </w:r>
      <w:r w:rsidR="00D00A68">
        <w:rPr>
          <w:rFonts w:asciiTheme="majorBidi" w:hAnsiTheme="majorBidi" w:cstheme="majorBidi"/>
          <w:sz w:val="24"/>
          <w:szCs w:val="24"/>
        </w:rPr>
        <w:t>ess involved in decision-making</w:t>
      </w:r>
      <w:r w:rsidRPr="00E51FA9">
        <w:rPr>
          <w:rFonts w:asciiTheme="majorBidi" w:hAnsiTheme="majorBidi" w:cstheme="majorBidi"/>
          <w:sz w:val="24"/>
          <w:szCs w:val="24"/>
        </w:rPr>
        <w:t xml:space="preserve"> (Hickson </w:t>
      </w:r>
      <w:r w:rsidR="006A1618">
        <w:rPr>
          <w:rFonts w:asciiTheme="majorBidi" w:hAnsiTheme="majorBidi" w:cstheme="majorBidi"/>
          <w:sz w:val="24"/>
          <w:szCs w:val="24"/>
        </w:rPr>
        <w:t>et al.</w:t>
      </w:r>
      <w:r w:rsidR="00861FCE" w:rsidRPr="00E51FA9">
        <w:rPr>
          <w:rFonts w:asciiTheme="majorBidi" w:hAnsiTheme="majorBidi" w:cstheme="majorBidi"/>
          <w:sz w:val="24"/>
          <w:szCs w:val="24"/>
        </w:rPr>
        <w:t>,</w:t>
      </w:r>
      <w:r w:rsidRPr="00E51FA9">
        <w:rPr>
          <w:rFonts w:asciiTheme="majorBidi" w:hAnsiTheme="majorBidi" w:cstheme="majorBidi"/>
          <w:sz w:val="24"/>
          <w:szCs w:val="24"/>
        </w:rPr>
        <w:t xml:space="preserve"> 2013</w:t>
      </w:r>
      <w:r w:rsidR="006A1618">
        <w:rPr>
          <w:rFonts w:asciiTheme="majorBidi" w:hAnsiTheme="majorBidi" w:cstheme="majorBidi"/>
          <w:sz w:val="24"/>
          <w:szCs w:val="24"/>
        </w:rPr>
        <w:t>; 2015</w:t>
      </w:r>
      <w:r w:rsidRPr="00E51FA9">
        <w:rPr>
          <w:rFonts w:asciiTheme="majorBidi" w:hAnsiTheme="majorBidi" w:cstheme="majorBidi"/>
          <w:sz w:val="24"/>
          <w:szCs w:val="24"/>
        </w:rPr>
        <w:t xml:space="preserve">; Khemka </w:t>
      </w:r>
      <w:r w:rsidR="006A1618">
        <w:rPr>
          <w:rFonts w:asciiTheme="majorBidi" w:hAnsiTheme="majorBidi" w:cstheme="majorBidi"/>
          <w:sz w:val="24"/>
          <w:szCs w:val="24"/>
        </w:rPr>
        <w:t>et al.</w:t>
      </w:r>
      <w:r w:rsidRPr="00E51FA9">
        <w:rPr>
          <w:rFonts w:asciiTheme="majorBidi" w:hAnsiTheme="majorBidi" w:cstheme="majorBidi"/>
          <w:sz w:val="24"/>
          <w:szCs w:val="24"/>
        </w:rPr>
        <w:t>, 200</w:t>
      </w:r>
      <w:r w:rsidR="007131B3">
        <w:rPr>
          <w:rFonts w:asciiTheme="majorBidi" w:hAnsiTheme="majorBidi" w:cstheme="majorBidi"/>
          <w:sz w:val="24"/>
          <w:szCs w:val="24"/>
        </w:rPr>
        <w:t>5</w:t>
      </w:r>
      <w:r w:rsidRPr="00E51FA9">
        <w:rPr>
          <w:rFonts w:asciiTheme="majorBidi" w:hAnsiTheme="majorBidi" w:cstheme="majorBidi"/>
          <w:sz w:val="24"/>
          <w:szCs w:val="24"/>
        </w:rPr>
        <w:t xml:space="preserve">. </w:t>
      </w:r>
    </w:p>
    <w:p w14:paraId="1AE45E61" w14:textId="3665AF75"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Unit 1, </w:t>
      </w:r>
      <w:r w:rsidR="00D00A68">
        <w:rPr>
          <w:rFonts w:asciiTheme="majorBidi" w:hAnsiTheme="majorBidi" w:cstheme="majorBidi"/>
          <w:sz w:val="24"/>
          <w:szCs w:val="24"/>
        </w:rPr>
        <w:t xml:space="preserve">comprising </w:t>
      </w:r>
      <w:r w:rsidRPr="00E51FA9">
        <w:rPr>
          <w:rFonts w:asciiTheme="majorBidi" w:hAnsiTheme="majorBidi" w:cstheme="majorBidi"/>
          <w:sz w:val="24"/>
          <w:szCs w:val="24"/>
        </w:rPr>
        <w:t>the first five lessons, was designed to teach key concepts of abuse as a basis for identifying sexual, physical, and verbal abuse situations that might require reasoned, deliberative decision making to avoid or escape from. It aimed to establish the importance of always considering three self-protective goals in decision making about abusive situations; be independent, be safe now, and be safe later.</w:t>
      </w:r>
    </w:p>
    <w:p w14:paraId="46056689" w14:textId="4D972DD8"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Unit 2, compris</w:t>
      </w:r>
      <w:r w:rsidR="00D00A68">
        <w:rPr>
          <w:rFonts w:asciiTheme="majorBidi" w:hAnsiTheme="majorBidi" w:cstheme="majorBidi"/>
          <w:sz w:val="24"/>
          <w:szCs w:val="24"/>
        </w:rPr>
        <w:t xml:space="preserve">ing </w:t>
      </w:r>
      <w:r w:rsidRPr="00E51FA9">
        <w:rPr>
          <w:rFonts w:asciiTheme="majorBidi" w:hAnsiTheme="majorBidi" w:cstheme="majorBidi"/>
          <w:sz w:val="24"/>
          <w:szCs w:val="24"/>
        </w:rPr>
        <w:t>the remaining seven lessons, aim</w:t>
      </w:r>
      <w:r w:rsidR="0040628E">
        <w:rPr>
          <w:rFonts w:asciiTheme="majorBidi" w:hAnsiTheme="majorBidi" w:cstheme="majorBidi"/>
          <w:sz w:val="24"/>
          <w:szCs w:val="24"/>
        </w:rPr>
        <w:t>ed</w:t>
      </w:r>
      <w:r w:rsidRPr="00E51FA9">
        <w:rPr>
          <w:rFonts w:asciiTheme="majorBidi" w:hAnsiTheme="majorBidi" w:cstheme="majorBidi"/>
          <w:sz w:val="24"/>
          <w:szCs w:val="24"/>
        </w:rPr>
        <w:t xml:space="preserve"> to model and provide guided practice in the application of a four-step decision-making strategy to hypothetical situations involving abuse: identify the problem, generate alternatives, evaluate possible consequences of each alternative in terms of the three established goals, and select the best course of action for the situation. </w:t>
      </w:r>
    </w:p>
    <w:p w14:paraId="583B718E" w14:textId="6C67E09A"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t>Evaluation of the intervention</w:t>
      </w:r>
      <w:r w:rsidRPr="00E51FA9">
        <w:rPr>
          <w:rFonts w:asciiTheme="majorBidi" w:hAnsiTheme="majorBidi" w:cstheme="majorBidi"/>
          <w:sz w:val="24"/>
          <w:szCs w:val="24"/>
        </w:rPr>
        <w:t>: a randomised control research design was employed to evaluate the outcome. Fifty-eight individuals with intellectual disability were randomly assigned either to an intervention (n=28) or control group (n=30). All participants completed the decision-making scale at pre-test and post-test. A scale developed for the study</w:t>
      </w:r>
      <w:r w:rsidRPr="00E51FA9">
        <w:t xml:space="preserve"> </w:t>
      </w:r>
      <w:r w:rsidRPr="00E51FA9">
        <w:rPr>
          <w:rFonts w:asciiTheme="majorBidi" w:hAnsiTheme="majorBidi" w:cstheme="majorBidi"/>
          <w:sz w:val="24"/>
          <w:szCs w:val="24"/>
        </w:rPr>
        <w:t xml:space="preserve">(Hickson et al., 2015) provided a measure of decision making in hypothetical situations of abuse. It consisted of six brief vignettes in which a protagonist was faced with a situation involving sexual, physical, or verbal abuse in a home or workplace setting. Each vignette was presented to the individual and followed by two questions; </w:t>
      </w:r>
      <w:r w:rsidR="00D87460">
        <w:rPr>
          <w:rFonts w:asciiTheme="majorBidi" w:hAnsiTheme="majorBidi" w:cstheme="majorBidi"/>
          <w:sz w:val="24"/>
          <w:szCs w:val="24"/>
        </w:rPr>
        <w:t xml:space="preserve">1) </w:t>
      </w:r>
      <w:r w:rsidRPr="00E51FA9">
        <w:rPr>
          <w:rFonts w:asciiTheme="majorBidi" w:hAnsiTheme="majorBidi" w:cstheme="majorBidi"/>
          <w:sz w:val="24"/>
          <w:szCs w:val="24"/>
        </w:rPr>
        <w:t xml:space="preserve">what is happening in this story? This was intended to assess problem awareness, the individual`s ability to articulate the problem in the vignette situation, and; </w:t>
      </w:r>
      <w:r w:rsidR="00D87460">
        <w:rPr>
          <w:rFonts w:asciiTheme="majorBidi" w:hAnsiTheme="majorBidi" w:cstheme="majorBidi"/>
          <w:sz w:val="24"/>
          <w:szCs w:val="24"/>
        </w:rPr>
        <w:t xml:space="preserve">2) </w:t>
      </w:r>
      <w:r w:rsidRPr="00E51FA9">
        <w:rPr>
          <w:rFonts w:asciiTheme="majorBidi" w:hAnsiTheme="majorBidi" w:cstheme="majorBidi"/>
          <w:sz w:val="24"/>
          <w:szCs w:val="24"/>
        </w:rPr>
        <w:t xml:space="preserve">what should (name of the protagonist) do? This was intended to assess decision-making effectiveness. </w:t>
      </w:r>
    </w:p>
    <w:p w14:paraId="7B8041FA" w14:textId="26B89881"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lastRenderedPageBreak/>
        <w:t>Responses to the problem-awareness question were coded as yes if they reflected an ident</w:t>
      </w:r>
      <w:r w:rsidR="006830DD">
        <w:rPr>
          <w:rFonts w:asciiTheme="majorBidi" w:hAnsiTheme="majorBidi" w:cstheme="majorBidi"/>
          <w:sz w:val="24"/>
          <w:szCs w:val="24"/>
        </w:rPr>
        <w:t>ification of abusive situation</w:t>
      </w:r>
      <w:r w:rsidR="0040628E">
        <w:rPr>
          <w:rFonts w:asciiTheme="majorBidi" w:hAnsiTheme="majorBidi" w:cstheme="majorBidi"/>
          <w:sz w:val="24"/>
          <w:szCs w:val="24"/>
        </w:rPr>
        <w:t>s</w:t>
      </w:r>
      <w:r w:rsidR="006830DD">
        <w:rPr>
          <w:rFonts w:asciiTheme="majorBidi" w:hAnsiTheme="majorBidi" w:cstheme="majorBidi"/>
          <w:sz w:val="24"/>
          <w:szCs w:val="24"/>
        </w:rPr>
        <w:t xml:space="preserve"> and no for </w:t>
      </w:r>
      <w:r w:rsidRPr="00E51FA9">
        <w:rPr>
          <w:rFonts w:asciiTheme="majorBidi" w:hAnsiTheme="majorBidi" w:cstheme="majorBidi"/>
          <w:sz w:val="24"/>
          <w:szCs w:val="24"/>
        </w:rPr>
        <w:t>all other responses. Responses to the decision-making question were coded as indicative of overall effective decision making if they reflected either an attempt to seek safety now and/or later through independent action or by seeking help.</w:t>
      </w:r>
    </w:p>
    <w:p w14:paraId="02701B85" w14:textId="77CED44F"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t>Research Findings</w:t>
      </w:r>
      <w:r w:rsidRPr="00E51FA9">
        <w:rPr>
          <w:rFonts w:asciiTheme="majorBidi" w:hAnsiTheme="majorBidi" w:cstheme="majorBidi"/>
          <w:sz w:val="24"/>
          <w:szCs w:val="24"/>
        </w:rPr>
        <w:t xml:space="preserve">: Participation in the ESCAPE-DD curriculum intervention was shown to be associated with increased application of effective decision-making skills in response to scenarios involving sexual, physical, and verbal abuse. Individuals with intellectual disability who received ESCAPE-DD increased their overall effective decision-making scores and their safe-now effective decision-making scores significantly more than </w:t>
      </w:r>
      <w:r w:rsidR="00F86E17">
        <w:rPr>
          <w:rFonts w:asciiTheme="majorBidi" w:hAnsiTheme="majorBidi" w:cstheme="majorBidi"/>
          <w:sz w:val="24"/>
          <w:szCs w:val="24"/>
        </w:rPr>
        <w:t xml:space="preserve">the </w:t>
      </w:r>
      <w:r w:rsidRPr="00E51FA9">
        <w:rPr>
          <w:rFonts w:asciiTheme="majorBidi" w:hAnsiTheme="majorBidi" w:cstheme="majorBidi"/>
          <w:sz w:val="24"/>
          <w:szCs w:val="24"/>
        </w:rPr>
        <w:t>control</w:t>
      </w:r>
      <w:r w:rsidR="00F86E17">
        <w:rPr>
          <w:rFonts w:asciiTheme="majorBidi" w:hAnsiTheme="majorBidi" w:cstheme="majorBidi"/>
          <w:sz w:val="24"/>
          <w:szCs w:val="24"/>
        </w:rPr>
        <w:t xml:space="preserve"> group</w:t>
      </w:r>
      <w:r w:rsidRPr="00E51FA9">
        <w:rPr>
          <w:rFonts w:asciiTheme="majorBidi" w:hAnsiTheme="majorBidi" w:cstheme="majorBidi"/>
          <w:sz w:val="24"/>
          <w:szCs w:val="24"/>
        </w:rPr>
        <w:t>. However, it is important to note the outcome was assessed immediately after the intervention using the same method</w:t>
      </w:r>
      <w:r w:rsidR="00F86E17">
        <w:rPr>
          <w:rFonts w:asciiTheme="majorBidi" w:hAnsiTheme="majorBidi" w:cstheme="majorBidi"/>
          <w:sz w:val="24"/>
          <w:szCs w:val="24"/>
        </w:rPr>
        <w:t>s</w:t>
      </w:r>
      <w:r w:rsidRPr="00E51FA9">
        <w:rPr>
          <w:rFonts w:asciiTheme="majorBidi" w:hAnsiTheme="majorBidi" w:cstheme="majorBidi"/>
          <w:sz w:val="24"/>
          <w:szCs w:val="24"/>
        </w:rPr>
        <w:t xml:space="preserve"> as the training. There was no evidence that the participants were able to transfer their knowledge to real life situations and whether the knowledge and acquired skills were maintained over time.</w:t>
      </w:r>
    </w:p>
    <w:p w14:paraId="21DC6EFF" w14:textId="77777777" w:rsidR="00A44B87" w:rsidRPr="00E51FA9" w:rsidRDefault="00A44B87" w:rsidP="0019074D">
      <w:pPr>
        <w:spacing w:after="120" w:line="360" w:lineRule="auto"/>
        <w:outlineLvl w:val="0"/>
        <w:rPr>
          <w:rFonts w:asciiTheme="majorBidi" w:hAnsiTheme="majorBidi" w:cstheme="majorBidi"/>
          <w:b/>
          <w:i/>
          <w:iCs/>
          <w:sz w:val="24"/>
          <w:szCs w:val="24"/>
        </w:rPr>
      </w:pPr>
      <w:r w:rsidRPr="00E51FA9">
        <w:rPr>
          <w:rFonts w:asciiTheme="majorBidi" w:hAnsiTheme="majorBidi" w:cstheme="majorBidi"/>
          <w:b/>
          <w:i/>
          <w:iCs/>
          <w:sz w:val="24"/>
          <w:szCs w:val="24"/>
        </w:rPr>
        <w:t>Staff educational training</w:t>
      </w:r>
    </w:p>
    <w:p w14:paraId="6B23A631" w14:textId="7A63C489" w:rsidR="00C64B1F" w:rsidRPr="00C64B1F" w:rsidRDefault="00A44B87" w:rsidP="00C64B1F">
      <w:pPr>
        <w:spacing w:line="360" w:lineRule="auto"/>
        <w:rPr>
          <w:color w:val="000000" w:themeColor="text1"/>
          <w:sz w:val="24"/>
          <w:szCs w:val="24"/>
          <w:lang w:val="en-US"/>
        </w:rPr>
      </w:pPr>
      <w:r w:rsidRPr="00E51FA9">
        <w:rPr>
          <w:rFonts w:asciiTheme="majorBidi" w:hAnsiTheme="majorBidi" w:cstheme="majorBidi"/>
          <w:sz w:val="24"/>
          <w:szCs w:val="24"/>
        </w:rPr>
        <w:t>Bowman and colleagues (2010) developed and evaluated educational workshop</w:t>
      </w:r>
      <w:r w:rsidR="0040628E">
        <w:rPr>
          <w:rFonts w:asciiTheme="majorBidi" w:hAnsiTheme="majorBidi" w:cstheme="majorBidi"/>
          <w:sz w:val="24"/>
          <w:szCs w:val="24"/>
        </w:rPr>
        <w:t>s</w:t>
      </w:r>
      <w:r w:rsidRPr="00E51FA9">
        <w:rPr>
          <w:rFonts w:asciiTheme="majorBidi" w:hAnsiTheme="majorBidi" w:cstheme="majorBidi"/>
          <w:sz w:val="24"/>
          <w:szCs w:val="24"/>
        </w:rPr>
        <w:t xml:space="preserve"> designed for direct care service providers in the field of intellectual disabilities. The four-hour workshop included information, didactic instruction and group activities aimed to increase staff knowledge and awareness of sexual abuse of individuals with intellectual disability, </w:t>
      </w:r>
      <w:r w:rsidR="00C64B1F" w:rsidRPr="00C64B1F">
        <w:rPr>
          <w:color w:val="000000" w:themeColor="text1"/>
          <w:sz w:val="24"/>
          <w:szCs w:val="24"/>
          <w:shd w:val="clear" w:color="auto" w:fill="FFFFFF"/>
          <w:lang w:val="en-US"/>
        </w:rPr>
        <w:t>promote the perspective that individuals with intellectual disability are sexual  beings and facilitate positive attitudes towards the sexuality of individuals with  intellectual disability</w:t>
      </w:r>
    </w:p>
    <w:p w14:paraId="730A24E3" w14:textId="5CCC7961"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t>Intervention</w:t>
      </w:r>
      <w:r w:rsidRPr="00E51FA9">
        <w:rPr>
          <w:rFonts w:asciiTheme="majorBidi" w:hAnsiTheme="majorBidi" w:cstheme="majorBidi"/>
          <w:sz w:val="24"/>
          <w:szCs w:val="24"/>
        </w:rPr>
        <w:t xml:space="preserve">: the four hour workshop included information on; the definition of sexual abuse, including state reporting laws relevant to children and adults; sexual abuse risk factors and patterns for people with developmental disabilities; HIV and AIDS information; how to identify physical and </w:t>
      </w:r>
      <w:r w:rsidR="001531CC" w:rsidRPr="00E51FA9">
        <w:rPr>
          <w:rFonts w:asciiTheme="majorBidi" w:hAnsiTheme="majorBidi" w:cstheme="majorBidi"/>
          <w:sz w:val="24"/>
          <w:szCs w:val="24"/>
        </w:rPr>
        <w:t>beh</w:t>
      </w:r>
      <w:r w:rsidR="001531CC">
        <w:rPr>
          <w:rFonts w:asciiTheme="majorBidi" w:hAnsiTheme="majorBidi" w:cstheme="majorBidi"/>
          <w:sz w:val="24"/>
          <w:szCs w:val="24"/>
        </w:rPr>
        <w:t>avioural</w:t>
      </w:r>
      <w:r w:rsidR="00122C3F">
        <w:rPr>
          <w:rFonts w:asciiTheme="majorBidi" w:hAnsiTheme="majorBidi" w:cstheme="majorBidi"/>
          <w:sz w:val="24"/>
          <w:szCs w:val="24"/>
        </w:rPr>
        <w:t xml:space="preserve"> signs of sexual abuse; </w:t>
      </w:r>
      <w:r w:rsidRPr="00E51FA9">
        <w:rPr>
          <w:rFonts w:asciiTheme="majorBidi" w:hAnsiTheme="majorBidi" w:cstheme="majorBidi"/>
          <w:sz w:val="24"/>
          <w:szCs w:val="24"/>
        </w:rPr>
        <w:t>sexual abuse prevention</w:t>
      </w:r>
      <w:r w:rsidR="00122C3F">
        <w:rPr>
          <w:rFonts w:asciiTheme="majorBidi" w:hAnsiTheme="majorBidi" w:cstheme="majorBidi"/>
          <w:sz w:val="24"/>
          <w:szCs w:val="24"/>
        </w:rPr>
        <w:t xml:space="preserve"> strategies;</w:t>
      </w:r>
      <w:r w:rsidRPr="00E51FA9">
        <w:rPr>
          <w:rFonts w:asciiTheme="majorBidi" w:hAnsiTheme="majorBidi" w:cstheme="majorBidi"/>
          <w:sz w:val="24"/>
          <w:szCs w:val="24"/>
        </w:rPr>
        <w:t xml:space="preserve"> factors that contribute to sexual abuse; changing negative attitudes that contribute to abuse; an overview of curricular and instructional packages for teaching AIDS education, sexuality education, and sexual abuse prevention; and, how to build safer environments. </w:t>
      </w:r>
    </w:p>
    <w:p w14:paraId="6735FAFE"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i/>
          <w:sz w:val="24"/>
          <w:szCs w:val="24"/>
        </w:rPr>
        <w:t>Evaluation</w:t>
      </w:r>
      <w:r w:rsidRPr="00E51FA9">
        <w:rPr>
          <w:rFonts w:asciiTheme="majorBidi" w:hAnsiTheme="majorBidi" w:cstheme="majorBidi"/>
          <w:sz w:val="24"/>
          <w:szCs w:val="24"/>
        </w:rPr>
        <w:t>: a cohort design was employed, 124 direct care, supervisors and other service providers from residential group homes and day treatment program settings were assessed on sexual abuse knowledge before and after undergoing the workshop with two research tools: The Sexual Abuse Attitudes Knowledge Questionnaire (SAAKQ); and the Global Perceptions Scale (GPS).</w:t>
      </w:r>
    </w:p>
    <w:p w14:paraId="1CEADD15" w14:textId="77777777" w:rsidR="00A44B87" w:rsidRPr="00E51FA9" w:rsidRDefault="00A44B87" w:rsidP="00A44B87">
      <w:pPr>
        <w:spacing w:after="120" w:line="360" w:lineRule="auto"/>
        <w:rPr>
          <w:sz w:val="24"/>
          <w:szCs w:val="24"/>
        </w:rPr>
      </w:pPr>
      <w:r w:rsidRPr="00E51FA9">
        <w:rPr>
          <w:rFonts w:asciiTheme="majorBidi" w:hAnsiTheme="majorBidi" w:cstheme="majorBidi"/>
          <w:i/>
          <w:sz w:val="24"/>
          <w:szCs w:val="24"/>
        </w:rPr>
        <w:t>Research Findings</w:t>
      </w:r>
      <w:r w:rsidRPr="00E51FA9">
        <w:rPr>
          <w:rFonts w:asciiTheme="majorBidi" w:hAnsiTheme="majorBidi" w:cstheme="majorBidi"/>
          <w:sz w:val="24"/>
          <w:szCs w:val="24"/>
        </w:rPr>
        <w:t xml:space="preserve">: staff knowledge of factors related to sexual abuse and attitudes about sexual abuse and sexuality among individuals with intellectual disabilities increased as a result of their </w:t>
      </w:r>
      <w:r w:rsidRPr="00E51FA9">
        <w:rPr>
          <w:rFonts w:asciiTheme="majorBidi" w:hAnsiTheme="majorBidi" w:cstheme="majorBidi"/>
          <w:sz w:val="24"/>
          <w:szCs w:val="24"/>
        </w:rPr>
        <w:lastRenderedPageBreak/>
        <w:t xml:space="preserve">participation in the workshop. There were no differences in general attitudes towards sexuality of individuals with intellectual disabilities. No follow-up or maintenance evaluation was conducted. </w:t>
      </w:r>
    </w:p>
    <w:p w14:paraId="79303D4D" w14:textId="77777777" w:rsidR="00A44B87" w:rsidRPr="00E51FA9" w:rsidRDefault="00A44B87" w:rsidP="0019074D">
      <w:pPr>
        <w:spacing w:after="120"/>
        <w:outlineLvl w:val="0"/>
        <w:rPr>
          <w:rFonts w:asciiTheme="majorBidi" w:hAnsiTheme="majorBidi" w:cstheme="majorBidi"/>
          <w:b/>
          <w:bCs/>
          <w:sz w:val="24"/>
          <w:szCs w:val="24"/>
        </w:rPr>
      </w:pPr>
      <w:r w:rsidRPr="00E51FA9">
        <w:rPr>
          <w:rFonts w:asciiTheme="majorBidi" w:hAnsiTheme="majorBidi" w:cstheme="majorBidi"/>
          <w:b/>
          <w:bCs/>
          <w:sz w:val="24"/>
          <w:szCs w:val="24"/>
        </w:rPr>
        <w:t>Discussion</w:t>
      </w:r>
    </w:p>
    <w:p w14:paraId="4AACA889" w14:textId="3B745D6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A public health approach is useful for assessing the state of th</w:t>
      </w:r>
      <w:r w:rsidR="00122C3F">
        <w:rPr>
          <w:rFonts w:asciiTheme="majorBidi" w:hAnsiTheme="majorBidi" w:cstheme="majorBidi"/>
          <w:sz w:val="24"/>
          <w:szCs w:val="24"/>
        </w:rPr>
        <w:t>e research evidence in the area</w:t>
      </w:r>
      <w:r w:rsidRPr="00E51FA9">
        <w:rPr>
          <w:rFonts w:asciiTheme="majorBidi" w:hAnsiTheme="majorBidi" w:cstheme="majorBidi"/>
          <w:sz w:val="24"/>
          <w:szCs w:val="24"/>
        </w:rPr>
        <w:t xml:space="preserve"> of abuse prevention for individuals with intellectual disabilities. According to this perspective, efforts to develop effective prevention strategies should include the following steps:</w:t>
      </w:r>
    </w:p>
    <w:p w14:paraId="5CCA6975" w14:textId="19E1A8C7" w:rsidR="00A44B87" w:rsidRPr="00E51FA9" w:rsidRDefault="00A44B87" w:rsidP="00981D03">
      <w:pPr>
        <w:numPr>
          <w:ilvl w:val="0"/>
          <w:numId w:val="3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Defining what constitutes abuse among individuals with intellectual disabilities</w:t>
      </w:r>
      <w:r w:rsidR="00981D03">
        <w:rPr>
          <w:rFonts w:asciiTheme="majorBidi" w:eastAsia="Calibri" w:hAnsiTheme="majorBidi" w:cstheme="majorBidi"/>
          <w:sz w:val="24"/>
          <w:szCs w:val="24"/>
        </w:rPr>
        <w:t xml:space="preserve">, </w:t>
      </w:r>
      <w:r w:rsidRPr="00E51FA9">
        <w:rPr>
          <w:rFonts w:asciiTheme="majorBidi" w:eastAsia="Calibri" w:hAnsiTheme="majorBidi" w:cstheme="majorBidi"/>
          <w:sz w:val="24"/>
          <w:szCs w:val="24"/>
        </w:rPr>
        <w:t>and its consequences, conceptually and numerically.</w:t>
      </w:r>
    </w:p>
    <w:p w14:paraId="5C3C979A" w14:textId="12BF63C8" w:rsidR="00A44B87" w:rsidRPr="00E51FA9" w:rsidRDefault="00A44B87" w:rsidP="00981D03">
      <w:pPr>
        <w:numPr>
          <w:ilvl w:val="0"/>
          <w:numId w:val="3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 xml:space="preserve">Identifying risk and protective factors for abuse that might be modifiable through intervention. In this step, it is crucial to address the multilevel factors and interactions in the levels of the </w:t>
      </w:r>
      <w:r w:rsidR="0040628E">
        <w:rPr>
          <w:rFonts w:asciiTheme="majorBidi" w:eastAsia="Calibri" w:hAnsiTheme="majorBidi" w:cstheme="majorBidi"/>
          <w:sz w:val="24"/>
          <w:szCs w:val="24"/>
        </w:rPr>
        <w:t>socio-</w:t>
      </w:r>
      <w:r w:rsidRPr="00E51FA9">
        <w:rPr>
          <w:rFonts w:asciiTheme="majorBidi" w:eastAsia="Calibri" w:hAnsiTheme="majorBidi" w:cstheme="majorBidi"/>
          <w:sz w:val="24"/>
          <w:szCs w:val="24"/>
        </w:rPr>
        <w:t xml:space="preserve">ecological model. </w:t>
      </w:r>
    </w:p>
    <w:p w14:paraId="1B90D094" w14:textId="6E362406" w:rsidR="00A44B87" w:rsidRPr="00E51FA9" w:rsidRDefault="00A44B87" w:rsidP="00981D03">
      <w:pPr>
        <w:numPr>
          <w:ilvl w:val="0"/>
          <w:numId w:val="3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 xml:space="preserve">Developing and </w:t>
      </w:r>
      <w:r w:rsidR="00C62334">
        <w:rPr>
          <w:rFonts w:asciiTheme="majorBidi" w:eastAsia="Calibri" w:hAnsiTheme="majorBidi" w:cstheme="majorBidi"/>
          <w:sz w:val="24"/>
          <w:szCs w:val="24"/>
        </w:rPr>
        <w:t xml:space="preserve">testing prevention strategies </w:t>
      </w:r>
      <w:r w:rsidRPr="00E51FA9">
        <w:rPr>
          <w:rFonts w:asciiTheme="majorBidi" w:eastAsia="Calibri" w:hAnsiTheme="majorBidi" w:cstheme="majorBidi"/>
          <w:sz w:val="24"/>
          <w:szCs w:val="24"/>
        </w:rPr>
        <w:t>in order to develop evidence-based practice to build and evaluate strategies based both on research and practice, as well as on the lived experiences and perceptions of various stakeholders (individuals with disabilities, carers, policymakers and professionals). Once a strategy or an intervention is implemented, its effectiveness should be determined by outcome evaluations.</w:t>
      </w:r>
    </w:p>
    <w:p w14:paraId="1D9E8B3E" w14:textId="2E10F703" w:rsidR="00A44B87" w:rsidRPr="00E51FA9" w:rsidRDefault="00A44B87" w:rsidP="00981D03">
      <w:pPr>
        <w:numPr>
          <w:ilvl w:val="0"/>
          <w:numId w:val="37"/>
        </w:numPr>
        <w:spacing w:after="120" w:line="360" w:lineRule="auto"/>
        <w:contextualSpacing/>
        <w:rPr>
          <w:rFonts w:asciiTheme="majorBidi" w:eastAsia="Calibri" w:hAnsiTheme="majorBidi" w:cstheme="majorBidi"/>
          <w:sz w:val="24"/>
          <w:szCs w:val="24"/>
        </w:rPr>
      </w:pPr>
      <w:r w:rsidRPr="00E51FA9">
        <w:rPr>
          <w:rFonts w:asciiTheme="majorBidi" w:eastAsia="Calibri" w:hAnsiTheme="majorBidi" w:cstheme="majorBidi"/>
          <w:sz w:val="24"/>
          <w:szCs w:val="24"/>
        </w:rPr>
        <w:t>Scaling up effective interventions, disseminating knowledge about them, and assessing cost and cost-effectiveness (Krug et al., 2002).</w:t>
      </w:r>
    </w:p>
    <w:p w14:paraId="66509C51" w14:textId="31FBC4D9"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Drawing from this framework the evidence gap in research and </w:t>
      </w:r>
      <w:r w:rsidRPr="00E51FA9">
        <w:rPr>
          <w:rFonts w:asciiTheme="majorBidi" w:hAnsiTheme="majorBidi" w:cstheme="majorBidi"/>
          <w:sz w:val="24"/>
          <w:szCs w:val="24"/>
          <w:lang w:bidi="he-IL"/>
        </w:rPr>
        <w:t xml:space="preserve">evidence-based </w:t>
      </w:r>
      <w:r w:rsidRPr="00E51FA9">
        <w:rPr>
          <w:rFonts w:asciiTheme="majorBidi" w:hAnsiTheme="majorBidi" w:cstheme="majorBidi"/>
          <w:sz w:val="24"/>
          <w:szCs w:val="24"/>
        </w:rPr>
        <w:t xml:space="preserve">practice is </w:t>
      </w:r>
      <w:r w:rsidR="001531CC" w:rsidRPr="00E51FA9">
        <w:rPr>
          <w:rFonts w:asciiTheme="majorBidi" w:hAnsiTheme="majorBidi" w:cstheme="majorBidi"/>
          <w:sz w:val="24"/>
          <w:szCs w:val="24"/>
        </w:rPr>
        <w:t>apparent. The</w:t>
      </w:r>
      <w:r w:rsidRPr="00E51FA9">
        <w:rPr>
          <w:rFonts w:asciiTheme="majorBidi" w:hAnsiTheme="majorBidi" w:cstheme="majorBidi"/>
          <w:sz w:val="24"/>
          <w:szCs w:val="24"/>
        </w:rPr>
        <w:t xml:space="preserve"> current knowledge of the incidence and impact of abuse among individuals with intellectual disabilities is limited; the national and international literature reports a wide range of statistics on the prevalence</w:t>
      </w:r>
      <w:r w:rsidR="00977F61">
        <w:rPr>
          <w:rFonts w:asciiTheme="majorBidi" w:hAnsiTheme="majorBidi" w:cstheme="majorBidi"/>
          <w:sz w:val="24"/>
          <w:szCs w:val="24"/>
        </w:rPr>
        <w:t xml:space="preserve"> (Mikton &amp; Shakespeare, 2014; Mikton et al., 2014)</w:t>
      </w:r>
      <w:r w:rsidRPr="00E51FA9">
        <w:rPr>
          <w:rFonts w:asciiTheme="majorBidi" w:hAnsiTheme="majorBidi" w:cstheme="majorBidi"/>
          <w:sz w:val="24"/>
          <w:szCs w:val="24"/>
        </w:rPr>
        <w:t>. Development of knowledge is hampered by methodological weaknesses and inconsistent definitions of disability and abuse. This population is rarely included in national epidemiological representative samples</w:t>
      </w:r>
      <w:r w:rsidRPr="00E51FA9">
        <w:rPr>
          <w:rFonts w:asciiTheme="majorBidi" w:hAnsiTheme="majorBidi" w:cstheme="majorBidi" w:hint="cs"/>
          <w:sz w:val="24"/>
          <w:szCs w:val="24"/>
        </w:rPr>
        <w:t xml:space="preserve"> </w:t>
      </w:r>
      <w:r w:rsidRPr="00E51FA9">
        <w:rPr>
          <w:rFonts w:asciiTheme="majorBidi" w:hAnsiTheme="majorBidi" w:cstheme="majorBidi"/>
          <w:sz w:val="24"/>
          <w:szCs w:val="24"/>
        </w:rPr>
        <w:t>or population studies of violence and abuse. Furthermore, it is widely acknowledged that current data underestimate the prevalence of abuse among individuals with profound intellectual disabilities, those living in group homes or those with communication difficulties</w:t>
      </w:r>
      <w:r w:rsidR="008D40BC">
        <w:rPr>
          <w:rFonts w:asciiTheme="majorBidi" w:hAnsiTheme="majorBidi" w:cstheme="majorBidi"/>
          <w:sz w:val="24"/>
          <w:szCs w:val="24"/>
        </w:rPr>
        <w:t xml:space="preserve"> (Mikton &amp; Shakespeare, 2014; Mikton et al., 2014)</w:t>
      </w:r>
      <w:r w:rsidRPr="00E51FA9">
        <w:rPr>
          <w:rFonts w:asciiTheme="majorBidi" w:hAnsiTheme="majorBidi" w:cstheme="majorBidi"/>
          <w:sz w:val="24"/>
          <w:szCs w:val="24"/>
        </w:rPr>
        <w:t xml:space="preserve">. To begin to address these gaps in the evidence, high quality epidemiological research is needed that uses standardised definitions and inclusive methods. </w:t>
      </w:r>
    </w:p>
    <w:p w14:paraId="3D89C49D" w14:textId="3BA55583" w:rsidR="00A44B87" w:rsidRPr="00E51FA9" w:rsidRDefault="00A44B87" w:rsidP="00A44B87">
      <w:pPr>
        <w:spacing w:after="120" w:line="360" w:lineRule="auto"/>
        <w:rPr>
          <w:sz w:val="24"/>
          <w:szCs w:val="24"/>
          <w:lang w:val="en-US" w:eastAsia="en-AU"/>
        </w:rPr>
      </w:pPr>
      <w:r w:rsidRPr="00E51FA9">
        <w:rPr>
          <w:sz w:val="24"/>
          <w:szCs w:val="24"/>
          <w:lang w:val="en-US" w:eastAsia="en-AU"/>
        </w:rPr>
        <w:t xml:space="preserve">In Victoria, the Disability Services Commissioner (DSC) collects information on complaints in regard to people with a disability as well as in regard to category </w:t>
      </w:r>
      <w:r w:rsidR="0019074D">
        <w:rPr>
          <w:sz w:val="24"/>
          <w:szCs w:val="24"/>
          <w:lang w:val="en-US" w:eastAsia="en-AU"/>
        </w:rPr>
        <w:t>1</w:t>
      </w:r>
      <w:r w:rsidRPr="00E51FA9">
        <w:rPr>
          <w:sz w:val="24"/>
          <w:szCs w:val="24"/>
          <w:lang w:val="en-US" w:eastAsia="en-AU"/>
        </w:rPr>
        <w:t xml:space="preserve"> incidents relating to staff to client assault, unexplained injury, client to client assault and poor quality care. In addition, as part of the process of reviewing category </w:t>
      </w:r>
      <w:r w:rsidR="0019074D">
        <w:rPr>
          <w:sz w:val="24"/>
          <w:szCs w:val="24"/>
          <w:lang w:val="en-US" w:eastAsia="en-AU"/>
        </w:rPr>
        <w:t>1</w:t>
      </w:r>
      <w:r w:rsidRPr="00E51FA9">
        <w:rPr>
          <w:sz w:val="24"/>
          <w:szCs w:val="24"/>
          <w:lang w:val="en-US" w:eastAsia="en-AU"/>
        </w:rPr>
        <w:t xml:space="preserve"> incidents the DSC reviews incident reports and quality of support </w:t>
      </w:r>
      <w:r w:rsidRPr="00E51FA9">
        <w:rPr>
          <w:sz w:val="24"/>
          <w:szCs w:val="24"/>
          <w:lang w:val="en-US" w:eastAsia="en-AU"/>
        </w:rPr>
        <w:lastRenderedPageBreak/>
        <w:t>reviews completed by the Department of Healt</w:t>
      </w:r>
      <w:r w:rsidR="0019074D">
        <w:rPr>
          <w:sz w:val="24"/>
          <w:szCs w:val="24"/>
          <w:lang w:val="en-US" w:eastAsia="en-AU"/>
        </w:rPr>
        <w:t>h and Human Services (DHHS). Th</w:t>
      </w:r>
      <w:r w:rsidR="00460210">
        <w:rPr>
          <w:sz w:val="24"/>
          <w:szCs w:val="24"/>
          <w:lang w:val="en-US" w:eastAsia="en-AU"/>
        </w:rPr>
        <w:t>ese</w:t>
      </w:r>
      <w:r w:rsidRPr="00E51FA9">
        <w:rPr>
          <w:sz w:val="24"/>
          <w:szCs w:val="24"/>
          <w:lang w:val="en-US" w:eastAsia="en-AU"/>
        </w:rPr>
        <w:t xml:space="preserve"> data may provide a valuable and unique opportunity to study incidents of abuse and by doing so obtain a greater understanding of this issue.</w:t>
      </w:r>
    </w:p>
    <w:p w14:paraId="6948982B" w14:textId="46ADD543"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While there is some anecdotal data of risk factors for abuse among individuals with mild intellectual disability, there is very little in respect of individuals with severe intellectual disabilities and communication difficulties. As it is suggested this latter group are at greater risk of abuse, and their safety needs and skills are often overlooked by research and practice it will be important to explore, identify and address specific risks and protective factors in their lives. Finally, while many abuse prevention programs are described in the scholarly and grey literature only a very small </w:t>
      </w:r>
      <w:r w:rsidR="0019074D">
        <w:rPr>
          <w:rFonts w:asciiTheme="majorBidi" w:hAnsiTheme="majorBidi" w:cstheme="majorBidi"/>
          <w:sz w:val="24"/>
          <w:szCs w:val="24"/>
        </w:rPr>
        <w:t xml:space="preserve">proportion </w:t>
      </w:r>
      <w:r w:rsidRPr="00E51FA9">
        <w:rPr>
          <w:rFonts w:asciiTheme="majorBidi" w:hAnsiTheme="majorBidi" w:cstheme="majorBidi"/>
          <w:sz w:val="24"/>
          <w:szCs w:val="24"/>
        </w:rPr>
        <w:t xml:space="preserve">have been evaluated, and these all relate to primary prevention strategies predominantly targeted at individuals with mild to moderate intellectual disability. This literature review has demonstrated the limited evidence about the effectiveness of programs to prevent abuse against individuals with </w:t>
      </w:r>
      <w:r w:rsidR="0019074D">
        <w:rPr>
          <w:rFonts w:asciiTheme="majorBidi" w:hAnsiTheme="majorBidi" w:cstheme="majorBidi"/>
          <w:sz w:val="24"/>
          <w:szCs w:val="24"/>
        </w:rPr>
        <w:t xml:space="preserve">intellectual </w:t>
      </w:r>
      <w:r w:rsidRPr="00E51FA9">
        <w:rPr>
          <w:rFonts w:asciiTheme="majorBidi" w:hAnsiTheme="majorBidi" w:cstheme="majorBidi"/>
          <w:sz w:val="24"/>
          <w:szCs w:val="24"/>
        </w:rPr>
        <w:t>disability. There are no evaluations of the cost effec</w:t>
      </w:r>
      <w:r w:rsidR="0019074D">
        <w:rPr>
          <w:rFonts w:asciiTheme="majorBidi" w:hAnsiTheme="majorBidi" w:cstheme="majorBidi"/>
          <w:sz w:val="24"/>
          <w:szCs w:val="24"/>
        </w:rPr>
        <w:t>tiveness of existing prevention strategies</w:t>
      </w:r>
      <w:r w:rsidRPr="00E51FA9">
        <w:rPr>
          <w:rFonts w:asciiTheme="majorBidi" w:hAnsiTheme="majorBidi" w:cstheme="majorBidi"/>
          <w:sz w:val="24"/>
          <w:szCs w:val="24"/>
        </w:rPr>
        <w:t>, and evidence is wholly lacking on successfully scaling up programs and evaluating their costs and benefits.</w:t>
      </w:r>
    </w:p>
    <w:p w14:paraId="2102A15C" w14:textId="40FB0D84" w:rsidR="00A44B87" w:rsidRPr="00E51FA9" w:rsidRDefault="0019074D" w:rsidP="00A44B87">
      <w:pPr>
        <w:spacing w:after="120" w:line="360" w:lineRule="auto"/>
        <w:rPr>
          <w:rFonts w:asciiTheme="majorBidi" w:hAnsiTheme="majorBidi" w:cstheme="majorBidi"/>
          <w:sz w:val="24"/>
          <w:szCs w:val="24"/>
        </w:rPr>
      </w:pPr>
      <w:r>
        <w:rPr>
          <w:rFonts w:asciiTheme="majorBidi" w:hAnsiTheme="majorBidi" w:cstheme="majorBidi"/>
          <w:sz w:val="24"/>
          <w:szCs w:val="24"/>
        </w:rPr>
        <w:t>Despite using</w:t>
      </w:r>
      <w:r w:rsidR="00A44B87" w:rsidRPr="00E51FA9">
        <w:rPr>
          <w:rFonts w:asciiTheme="majorBidi" w:hAnsiTheme="majorBidi" w:cstheme="majorBidi"/>
          <w:sz w:val="24"/>
          <w:szCs w:val="24"/>
        </w:rPr>
        <w:t xml:space="preserve"> broad inclusion criterion, our systematic literature review, encompassing national and international manuscripts published on the evaluation of prevention intervention for individuals with intellectual disabilities, identified only six articles reporting effectiveness studies. Our review reveals that although the noti</w:t>
      </w:r>
      <w:r>
        <w:rPr>
          <w:rFonts w:asciiTheme="majorBidi" w:hAnsiTheme="majorBidi" w:cstheme="majorBidi"/>
          <w:sz w:val="24"/>
          <w:szCs w:val="24"/>
        </w:rPr>
        <w:t>on of prevention strategies has</w:t>
      </w:r>
      <w:r w:rsidR="00A44B87" w:rsidRPr="00E51FA9">
        <w:rPr>
          <w:rFonts w:asciiTheme="majorBidi" w:hAnsiTheme="majorBidi" w:cstheme="majorBidi"/>
          <w:sz w:val="24"/>
          <w:szCs w:val="24"/>
        </w:rPr>
        <w:t xml:space="preserve"> been discussed in the peer-reviewed and grey literature, and many intervention</w:t>
      </w:r>
      <w:r>
        <w:rPr>
          <w:rFonts w:asciiTheme="majorBidi" w:hAnsiTheme="majorBidi" w:cstheme="majorBidi"/>
          <w:sz w:val="24"/>
          <w:szCs w:val="24"/>
        </w:rPr>
        <w:t>s</w:t>
      </w:r>
      <w:r w:rsidR="00A44B87" w:rsidRPr="00E51FA9">
        <w:rPr>
          <w:rFonts w:asciiTheme="majorBidi" w:hAnsiTheme="majorBidi" w:cstheme="majorBidi"/>
          <w:sz w:val="24"/>
          <w:szCs w:val="24"/>
        </w:rPr>
        <w:t xml:space="preserve"> have been designed and implemented over the years, only a few interventions ha</w:t>
      </w:r>
      <w:r>
        <w:rPr>
          <w:rFonts w:asciiTheme="majorBidi" w:hAnsiTheme="majorBidi" w:cstheme="majorBidi"/>
          <w:sz w:val="24"/>
          <w:szCs w:val="24"/>
        </w:rPr>
        <w:t xml:space="preserve">ve </w:t>
      </w:r>
      <w:r w:rsidR="00A44B87" w:rsidRPr="00E51FA9">
        <w:rPr>
          <w:rFonts w:asciiTheme="majorBidi" w:hAnsiTheme="majorBidi" w:cstheme="majorBidi"/>
          <w:sz w:val="24"/>
          <w:szCs w:val="24"/>
        </w:rPr>
        <w:t>been evaluated</w:t>
      </w:r>
      <w:r>
        <w:rPr>
          <w:rFonts w:asciiTheme="majorBidi" w:hAnsiTheme="majorBidi" w:cstheme="majorBidi"/>
          <w:sz w:val="24"/>
          <w:szCs w:val="24"/>
        </w:rPr>
        <w:t xml:space="preserve">. All of </w:t>
      </w:r>
      <w:r w:rsidR="001531CC">
        <w:rPr>
          <w:rFonts w:asciiTheme="majorBidi" w:hAnsiTheme="majorBidi" w:cstheme="majorBidi"/>
          <w:sz w:val="24"/>
          <w:szCs w:val="24"/>
        </w:rPr>
        <w:t>these</w:t>
      </w:r>
      <w:r>
        <w:rPr>
          <w:rFonts w:asciiTheme="majorBidi" w:hAnsiTheme="majorBidi" w:cstheme="majorBidi"/>
          <w:sz w:val="24"/>
          <w:szCs w:val="24"/>
        </w:rPr>
        <w:t xml:space="preserve"> evaluations involved a </w:t>
      </w:r>
      <w:r w:rsidR="00A44B87" w:rsidRPr="00E51FA9">
        <w:rPr>
          <w:rFonts w:asciiTheme="majorBidi" w:hAnsiTheme="majorBidi" w:cstheme="majorBidi"/>
          <w:sz w:val="24"/>
          <w:szCs w:val="24"/>
        </w:rPr>
        <w:t>sm</w:t>
      </w:r>
      <w:r>
        <w:rPr>
          <w:rFonts w:asciiTheme="majorBidi" w:hAnsiTheme="majorBidi" w:cstheme="majorBidi"/>
          <w:sz w:val="24"/>
          <w:szCs w:val="24"/>
        </w:rPr>
        <w:t xml:space="preserve">all number of participants and investigated </w:t>
      </w:r>
      <w:r w:rsidR="00A44B87" w:rsidRPr="00E51FA9">
        <w:rPr>
          <w:rFonts w:asciiTheme="majorBidi" w:hAnsiTheme="majorBidi" w:cstheme="majorBidi"/>
          <w:sz w:val="24"/>
          <w:szCs w:val="24"/>
        </w:rPr>
        <w:t>specific impact over short periods of time</w:t>
      </w:r>
      <w:r>
        <w:rPr>
          <w:rFonts w:asciiTheme="majorBidi" w:hAnsiTheme="majorBidi" w:cstheme="majorBidi"/>
          <w:sz w:val="24"/>
          <w:szCs w:val="24"/>
        </w:rPr>
        <w:t xml:space="preserve"> rather than </w:t>
      </w:r>
      <w:r w:rsidR="001531CC">
        <w:rPr>
          <w:rFonts w:asciiTheme="majorBidi" w:hAnsiTheme="majorBidi" w:cstheme="majorBidi"/>
          <w:sz w:val="24"/>
          <w:szCs w:val="24"/>
        </w:rPr>
        <w:t>longer</w:t>
      </w:r>
      <w:r>
        <w:rPr>
          <w:rFonts w:asciiTheme="majorBidi" w:hAnsiTheme="majorBidi" w:cstheme="majorBidi"/>
          <w:sz w:val="24"/>
          <w:szCs w:val="24"/>
        </w:rPr>
        <w:t xml:space="preserve"> term outcomes</w:t>
      </w:r>
      <w:r w:rsidR="00A44B87" w:rsidRPr="00E51FA9">
        <w:rPr>
          <w:rFonts w:asciiTheme="majorBidi" w:hAnsiTheme="majorBidi" w:cstheme="majorBidi"/>
          <w:sz w:val="24"/>
          <w:szCs w:val="24"/>
        </w:rPr>
        <w:t xml:space="preserve">. Moreover, all the evaluated interventions were </w:t>
      </w:r>
      <w:r w:rsidR="00A44B87" w:rsidRPr="00E51FA9">
        <w:rPr>
          <w:sz w:val="24"/>
          <w:szCs w:val="24"/>
        </w:rPr>
        <w:t>primary</w:t>
      </w:r>
      <w:r w:rsidR="00A44B87" w:rsidRPr="00E51FA9">
        <w:rPr>
          <w:rFonts w:asciiTheme="majorBidi" w:hAnsiTheme="majorBidi" w:cstheme="majorBidi"/>
          <w:sz w:val="24"/>
          <w:szCs w:val="24"/>
        </w:rPr>
        <w:t xml:space="preserve"> intervention</w:t>
      </w:r>
      <w:r>
        <w:rPr>
          <w:rFonts w:asciiTheme="majorBidi" w:hAnsiTheme="majorBidi" w:cstheme="majorBidi"/>
          <w:sz w:val="24"/>
          <w:szCs w:val="24"/>
        </w:rPr>
        <w:t xml:space="preserve">s, </w:t>
      </w:r>
      <w:r w:rsidR="00A44B87" w:rsidRPr="00E51FA9">
        <w:rPr>
          <w:rFonts w:asciiTheme="majorBidi" w:hAnsiTheme="majorBidi" w:cstheme="majorBidi"/>
          <w:sz w:val="24"/>
          <w:szCs w:val="24"/>
        </w:rPr>
        <w:t xml:space="preserve">targeting the individual level on the socio-ecological model. </w:t>
      </w:r>
    </w:p>
    <w:p w14:paraId="7CF503EF" w14:textId="7E5AD0E9"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All evaluated interventions were based on the assumption that adults with intellectual disability can be taught skills that will aid them </w:t>
      </w:r>
      <w:r w:rsidR="0019074D">
        <w:rPr>
          <w:rFonts w:asciiTheme="majorBidi" w:hAnsiTheme="majorBidi" w:cstheme="majorBidi"/>
          <w:sz w:val="24"/>
          <w:szCs w:val="24"/>
        </w:rPr>
        <w:t>in</w:t>
      </w:r>
      <w:r w:rsidRPr="00E51FA9">
        <w:rPr>
          <w:rFonts w:asciiTheme="majorBidi" w:hAnsiTheme="majorBidi" w:cstheme="majorBidi"/>
          <w:sz w:val="24"/>
          <w:szCs w:val="24"/>
        </w:rPr>
        <w:t xml:space="preserve"> prevent</w:t>
      </w:r>
      <w:r w:rsidR="0019074D">
        <w:rPr>
          <w:rFonts w:asciiTheme="majorBidi" w:hAnsiTheme="majorBidi" w:cstheme="majorBidi"/>
          <w:sz w:val="24"/>
          <w:szCs w:val="24"/>
        </w:rPr>
        <w:t>ing</w:t>
      </w:r>
      <w:r w:rsidRPr="00E51FA9">
        <w:rPr>
          <w:rFonts w:asciiTheme="majorBidi" w:hAnsiTheme="majorBidi" w:cstheme="majorBidi"/>
          <w:sz w:val="24"/>
          <w:szCs w:val="24"/>
        </w:rPr>
        <w:t xml:space="preserve"> </w:t>
      </w:r>
      <w:r w:rsidR="0019074D">
        <w:rPr>
          <w:rFonts w:asciiTheme="majorBidi" w:hAnsiTheme="majorBidi" w:cstheme="majorBidi"/>
          <w:sz w:val="24"/>
          <w:szCs w:val="24"/>
        </w:rPr>
        <w:t xml:space="preserve">or </w:t>
      </w:r>
      <w:r w:rsidRPr="00E51FA9">
        <w:rPr>
          <w:rFonts w:asciiTheme="majorBidi" w:hAnsiTheme="majorBidi" w:cstheme="majorBidi"/>
          <w:sz w:val="24"/>
          <w:szCs w:val="24"/>
        </w:rPr>
        <w:t>protect</w:t>
      </w:r>
      <w:r w:rsidR="0019074D">
        <w:rPr>
          <w:rFonts w:asciiTheme="majorBidi" w:hAnsiTheme="majorBidi" w:cstheme="majorBidi"/>
          <w:sz w:val="24"/>
          <w:szCs w:val="24"/>
        </w:rPr>
        <w:t>ing</w:t>
      </w:r>
      <w:r w:rsidRPr="00E51FA9">
        <w:rPr>
          <w:rFonts w:asciiTheme="majorBidi" w:hAnsiTheme="majorBidi" w:cstheme="majorBidi"/>
          <w:sz w:val="24"/>
          <w:szCs w:val="24"/>
        </w:rPr>
        <w:t xml:space="preserve"> themselves from abuse. The outcome measures of interventions were specific changes to knowledge, att</w:t>
      </w:r>
      <w:r w:rsidR="0019074D">
        <w:rPr>
          <w:rFonts w:asciiTheme="majorBidi" w:hAnsiTheme="majorBidi" w:cstheme="majorBidi"/>
          <w:sz w:val="24"/>
          <w:szCs w:val="24"/>
        </w:rPr>
        <w:t>itudes or behaviour demonstrate</w:t>
      </w:r>
      <w:r w:rsidRPr="00E51FA9">
        <w:rPr>
          <w:rFonts w:asciiTheme="majorBidi" w:hAnsiTheme="majorBidi" w:cstheme="majorBidi"/>
          <w:sz w:val="24"/>
          <w:szCs w:val="24"/>
        </w:rPr>
        <w:t xml:space="preserve"> through role-plays and in-situ training. None of the studies evaluated the effectiveness of interventions in reducing the prevalence of actual abuse. The findings of these studies demonstrated that indeed individuals with mild to moderate intellectual disability may successfully acquire knowledge or skills to assist them with recognising an abusive situation and responding in an effective way. Nevertheless, research suggests that such knowledge and skills are not necessarily transferable and the ability to demonstrate certain behavioural responses in a role-play may not </w:t>
      </w:r>
      <w:r w:rsidRPr="00E51FA9">
        <w:rPr>
          <w:rFonts w:asciiTheme="majorBidi" w:hAnsiTheme="majorBidi" w:cstheme="majorBidi"/>
          <w:sz w:val="24"/>
          <w:szCs w:val="24"/>
        </w:rPr>
        <w:lastRenderedPageBreak/>
        <w:t xml:space="preserve">transfer to behaviour shown during in-situ assessment or be indicative of the person’s ability to respond effectively in a real situation. None of interventions have addressed the broader context and evaluated long-term effectiveness in reducing the prevalence of violence and abuse for individuals with intellectual disabilities. Moreover, it is concerning that none of the interventions reviewed were designed to include individuals with severe </w:t>
      </w:r>
      <w:r w:rsidR="0019074D">
        <w:rPr>
          <w:rFonts w:asciiTheme="majorBidi" w:hAnsiTheme="majorBidi" w:cstheme="majorBidi"/>
          <w:sz w:val="24"/>
          <w:szCs w:val="24"/>
        </w:rPr>
        <w:t>or</w:t>
      </w:r>
      <w:r w:rsidRPr="00E51FA9">
        <w:rPr>
          <w:rFonts w:asciiTheme="majorBidi" w:hAnsiTheme="majorBidi" w:cstheme="majorBidi"/>
          <w:sz w:val="24"/>
          <w:szCs w:val="24"/>
        </w:rPr>
        <w:t xml:space="preserve"> profound intellectual disability or with communication difficulties. This may be attributed to the verbally mediated teaching methods and skills assessments that were used in these interventions (Doughty &amp; Kane, 2010). </w:t>
      </w:r>
    </w:p>
    <w:p w14:paraId="5EA4ECE5" w14:textId="243C6835"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The safety and quality of life outcomes of people with severe intellectual disability are dependent on the quality of support, and inextricably connected to staff practices. It appears that the kinds of intervention strategies evaluated to date </w:t>
      </w:r>
      <w:r w:rsidR="0019074D">
        <w:rPr>
          <w:rFonts w:asciiTheme="majorBidi" w:hAnsiTheme="majorBidi" w:cstheme="majorBidi"/>
          <w:sz w:val="24"/>
          <w:szCs w:val="24"/>
        </w:rPr>
        <w:t>are</w:t>
      </w:r>
      <w:r w:rsidRPr="00E51FA9">
        <w:rPr>
          <w:rFonts w:asciiTheme="majorBidi" w:hAnsiTheme="majorBidi" w:cstheme="majorBidi"/>
          <w:sz w:val="24"/>
          <w:szCs w:val="24"/>
        </w:rPr>
        <w:t xml:space="preserve"> not appropriate for many people with severe intellectual disabilities. </w:t>
      </w:r>
    </w:p>
    <w:p w14:paraId="7820FDCE" w14:textId="45D1E3C3"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Finally, some scholars have identified that to ensure skills maintenance, the environments in which individuals with intellectual disabilities live should be considered (</w:t>
      </w:r>
      <w:r w:rsidR="00861FCE" w:rsidRPr="00E51FA9">
        <w:rPr>
          <w:rFonts w:asciiTheme="majorBidi" w:hAnsiTheme="majorBidi" w:cstheme="majorBidi"/>
          <w:sz w:val="24"/>
          <w:szCs w:val="24"/>
        </w:rPr>
        <w:t>Marsland</w:t>
      </w:r>
      <w:r w:rsidR="00861FCE">
        <w:rPr>
          <w:rFonts w:asciiTheme="majorBidi" w:hAnsiTheme="majorBidi" w:cstheme="majorBidi"/>
          <w:sz w:val="24"/>
          <w:szCs w:val="24"/>
        </w:rPr>
        <w:t xml:space="preserve"> et</w:t>
      </w:r>
      <w:r w:rsidR="0003285E">
        <w:rPr>
          <w:rFonts w:asciiTheme="majorBidi" w:hAnsiTheme="majorBidi" w:cstheme="majorBidi"/>
          <w:sz w:val="24"/>
          <w:szCs w:val="24"/>
        </w:rPr>
        <w:t xml:space="preserve"> al.</w:t>
      </w:r>
      <w:r w:rsidR="0003285E" w:rsidRPr="00E51FA9">
        <w:rPr>
          <w:rFonts w:asciiTheme="majorBidi" w:hAnsiTheme="majorBidi" w:cstheme="majorBidi"/>
          <w:sz w:val="24"/>
          <w:szCs w:val="24"/>
        </w:rPr>
        <w:t>, 2007</w:t>
      </w:r>
      <w:r w:rsidR="0003285E">
        <w:rPr>
          <w:rFonts w:asciiTheme="majorBidi" w:hAnsiTheme="majorBidi" w:cstheme="majorBidi"/>
          <w:sz w:val="24"/>
          <w:szCs w:val="24"/>
        </w:rPr>
        <w:t xml:space="preserve">; </w:t>
      </w:r>
      <w:r w:rsidRPr="00E51FA9">
        <w:rPr>
          <w:rFonts w:asciiTheme="majorBidi" w:hAnsiTheme="majorBidi" w:cstheme="majorBidi"/>
          <w:sz w:val="24"/>
          <w:szCs w:val="24"/>
        </w:rPr>
        <w:t xml:space="preserve">Robinson, 2013; </w:t>
      </w:r>
      <w:r w:rsidRPr="00E51FA9">
        <w:rPr>
          <w:sz w:val="24"/>
          <w:szCs w:val="24"/>
        </w:rPr>
        <w:t>Robinson &amp; Chenoweth, 2011</w:t>
      </w:r>
      <w:r w:rsidR="00004D91">
        <w:rPr>
          <w:sz w:val="24"/>
          <w:szCs w:val="24"/>
        </w:rPr>
        <w:t>; 2012</w:t>
      </w:r>
      <w:r w:rsidRPr="00E51FA9">
        <w:rPr>
          <w:rFonts w:asciiTheme="majorBidi" w:hAnsiTheme="majorBidi" w:cstheme="majorBidi"/>
          <w:sz w:val="24"/>
          <w:szCs w:val="24"/>
        </w:rPr>
        <w:t xml:space="preserve">). Most of the interventions reviewed involved </w:t>
      </w:r>
      <w:r w:rsidR="00971B34">
        <w:rPr>
          <w:rFonts w:asciiTheme="majorBidi" w:hAnsiTheme="majorBidi" w:cstheme="majorBidi"/>
          <w:sz w:val="24"/>
          <w:szCs w:val="24"/>
        </w:rPr>
        <w:t>a preventative measure that required the person with intellectual disability to re</w:t>
      </w:r>
      <w:r w:rsidRPr="00E51FA9">
        <w:rPr>
          <w:rFonts w:asciiTheme="majorBidi" w:hAnsiTheme="majorBidi" w:cstheme="majorBidi"/>
          <w:sz w:val="24"/>
          <w:szCs w:val="24"/>
        </w:rPr>
        <w:t xml:space="preserve">port an abusive situation to someone else. This type of disclosure is much more likely if </w:t>
      </w:r>
      <w:r w:rsidR="00971B34">
        <w:rPr>
          <w:rFonts w:asciiTheme="majorBidi" w:hAnsiTheme="majorBidi" w:cstheme="majorBidi"/>
          <w:sz w:val="24"/>
          <w:szCs w:val="24"/>
        </w:rPr>
        <w:t xml:space="preserve">the person has </w:t>
      </w:r>
      <w:r w:rsidRPr="00E51FA9">
        <w:rPr>
          <w:rFonts w:asciiTheme="majorBidi" w:hAnsiTheme="majorBidi" w:cstheme="majorBidi"/>
          <w:sz w:val="24"/>
          <w:szCs w:val="24"/>
        </w:rPr>
        <w:t>a positive and trusting relationship with staff or caregivers. Some of the prevention and protection training reviewed runs the danger of placing participants in difficult positions, if the</w:t>
      </w:r>
      <w:r w:rsidR="008F189D">
        <w:rPr>
          <w:rFonts w:asciiTheme="majorBidi" w:hAnsiTheme="majorBidi" w:cstheme="majorBidi"/>
          <w:sz w:val="24"/>
          <w:szCs w:val="24"/>
        </w:rPr>
        <w:t>y do not have this type of relationship with staff and the</w:t>
      </w:r>
      <w:r w:rsidRPr="00E51FA9">
        <w:rPr>
          <w:rFonts w:asciiTheme="majorBidi" w:hAnsiTheme="majorBidi" w:cstheme="majorBidi"/>
          <w:sz w:val="24"/>
          <w:szCs w:val="24"/>
        </w:rPr>
        <w:t xml:space="preserve">ir experiences of everyday environments conflict with those discussed in training sessions. </w:t>
      </w:r>
    </w:p>
    <w:p w14:paraId="24B5C844" w14:textId="4C4AB1E6"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Taking a holistic view of the body of evidence reported in the scholarly literature, it seems that despite the growing recognition </w:t>
      </w:r>
      <w:r w:rsidR="008F189D">
        <w:rPr>
          <w:rFonts w:asciiTheme="majorBidi" w:hAnsiTheme="majorBidi" w:cstheme="majorBidi"/>
          <w:sz w:val="24"/>
          <w:szCs w:val="24"/>
        </w:rPr>
        <w:t>of t</w:t>
      </w:r>
      <w:r w:rsidRPr="00E51FA9">
        <w:rPr>
          <w:rFonts w:asciiTheme="majorBidi" w:hAnsiTheme="majorBidi" w:cstheme="majorBidi"/>
          <w:sz w:val="24"/>
          <w:szCs w:val="24"/>
        </w:rPr>
        <w:t xml:space="preserve">he need to lay out comprehensive prevention strategies incorporating primary, secondary and tertiary interventions, and targeting individuals with </w:t>
      </w:r>
      <w:r w:rsidR="008F189D">
        <w:rPr>
          <w:rFonts w:asciiTheme="majorBidi" w:hAnsiTheme="majorBidi" w:cstheme="majorBidi"/>
          <w:sz w:val="24"/>
          <w:szCs w:val="24"/>
        </w:rPr>
        <w:t xml:space="preserve">intellectual </w:t>
      </w:r>
      <w:r w:rsidRPr="00E51FA9">
        <w:rPr>
          <w:rFonts w:asciiTheme="majorBidi" w:hAnsiTheme="majorBidi" w:cstheme="majorBidi"/>
          <w:sz w:val="24"/>
          <w:szCs w:val="24"/>
        </w:rPr>
        <w:t>disabilities in policy reform, no evaluation of outcomes has been conducted. Therefore, it remains to be established whether the incidence, experience and responses to abuse have been affected by these interventions and strategies (Marsland et al., 2007; Robinson &amp; Chenoweth, 2005;</w:t>
      </w:r>
      <w:r w:rsidR="00004D91">
        <w:rPr>
          <w:rFonts w:asciiTheme="majorBidi" w:hAnsiTheme="majorBidi" w:cstheme="majorBidi"/>
          <w:sz w:val="24"/>
          <w:szCs w:val="24"/>
        </w:rPr>
        <w:t xml:space="preserve"> 2012;</w:t>
      </w:r>
      <w:r w:rsidRPr="00E51FA9">
        <w:rPr>
          <w:rFonts w:asciiTheme="majorBidi" w:hAnsiTheme="majorBidi" w:cstheme="majorBidi"/>
          <w:sz w:val="24"/>
          <w:szCs w:val="24"/>
        </w:rPr>
        <w:t xml:space="preserve"> Mandeville &amp; Hanson, 2000). </w:t>
      </w:r>
    </w:p>
    <w:p w14:paraId="6CD09910" w14:textId="77777777"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It seems that in order to establish “evidence-based” effective prevention strategies and to reduce the prevalence of abuse and violence in the lives of people with intellectual disabilities, research and interventions need to evolve from the response-to-risk approach to a broader framework encompassing individual’s safety as part of their quality of life. </w:t>
      </w:r>
    </w:p>
    <w:p w14:paraId="198CFC24" w14:textId="56F404F3"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lastRenderedPageBreak/>
        <w:t xml:space="preserve">In the current Australian context where most people with intellectual disabilities are receiving support </w:t>
      </w:r>
      <w:r w:rsidR="008F189D">
        <w:rPr>
          <w:rFonts w:asciiTheme="majorBidi" w:hAnsiTheme="majorBidi" w:cstheme="majorBidi"/>
          <w:sz w:val="24"/>
          <w:szCs w:val="24"/>
        </w:rPr>
        <w:t xml:space="preserve">from </w:t>
      </w:r>
      <w:r w:rsidRPr="00E51FA9">
        <w:rPr>
          <w:rFonts w:asciiTheme="majorBidi" w:hAnsiTheme="majorBidi" w:cstheme="majorBidi"/>
          <w:sz w:val="24"/>
          <w:szCs w:val="24"/>
        </w:rPr>
        <w:t xml:space="preserve">the disability services system, it is apparent that any prevention strategy should address the nature and quality of support services generally and supported accommodation services particularly. </w:t>
      </w:r>
    </w:p>
    <w:p w14:paraId="50B1B856" w14:textId="5771026E" w:rsidR="00A44B87" w:rsidRPr="00E51FA9" w:rsidRDefault="00A44B87" w:rsidP="00A44B87">
      <w:pPr>
        <w:spacing w:after="120" w:line="360" w:lineRule="auto"/>
        <w:rPr>
          <w:rFonts w:asciiTheme="majorBidi" w:hAnsiTheme="majorBidi" w:cstheme="majorBidi"/>
          <w:sz w:val="24"/>
          <w:szCs w:val="24"/>
          <w:lang w:bidi="he-IL"/>
        </w:rPr>
      </w:pPr>
      <w:r w:rsidRPr="00E51FA9">
        <w:rPr>
          <w:rFonts w:asciiTheme="majorBidi" w:hAnsiTheme="majorBidi" w:cstheme="majorBidi"/>
          <w:sz w:val="24"/>
          <w:szCs w:val="24"/>
          <w:lang w:bidi="he-IL"/>
        </w:rPr>
        <w:t xml:space="preserve">Organisational culture is a fundamental feature </w:t>
      </w:r>
      <w:r w:rsidRPr="00E51FA9">
        <w:rPr>
          <w:rFonts w:asciiTheme="majorBidi" w:hAnsiTheme="majorBidi" w:cstheme="majorBidi"/>
          <w:sz w:val="24"/>
          <w:szCs w:val="24"/>
        </w:rPr>
        <w:t>repe</w:t>
      </w:r>
      <w:r w:rsidR="008F189D">
        <w:rPr>
          <w:rFonts w:asciiTheme="majorBidi" w:hAnsiTheme="majorBidi" w:cstheme="majorBidi"/>
          <w:sz w:val="24"/>
          <w:szCs w:val="24"/>
        </w:rPr>
        <w:t xml:space="preserve">atedly </w:t>
      </w:r>
      <w:r w:rsidRPr="00E51FA9">
        <w:rPr>
          <w:rFonts w:asciiTheme="majorBidi" w:hAnsiTheme="majorBidi" w:cstheme="majorBidi"/>
          <w:sz w:val="24"/>
          <w:szCs w:val="24"/>
        </w:rPr>
        <w:t xml:space="preserve">identified as </w:t>
      </w:r>
      <w:r w:rsidR="008F189D">
        <w:rPr>
          <w:rFonts w:asciiTheme="majorBidi" w:hAnsiTheme="majorBidi" w:cstheme="majorBidi"/>
          <w:sz w:val="24"/>
          <w:szCs w:val="24"/>
        </w:rPr>
        <w:t xml:space="preserve">a key </w:t>
      </w:r>
      <w:r w:rsidRPr="00E51FA9">
        <w:rPr>
          <w:rFonts w:asciiTheme="majorBidi" w:hAnsiTheme="majorBidi" w:cstheme="majorBidi"/>
          <w:sz w:val="24"/>
          <w:szCs w:val="24"/>
        </w:rPr>
        <w:t xml:space="preserve">risk or protective factor associated with </w:t>
      </w:r>
      <w:r w:rsidR="001531CC" w:rsidRPr="00E51FA9">
        <w:rPr>
          <w:rFonts w:asciiTheme="majorBidi" w:hAnsiTheme="majorBidi" w:cstheme="majorBidi"/>
          <w:sz w:val="24"/>
          <w:szCs w:val="24"/>
        </w:rPr>
        <w:t>abuse of</w:t>
      </w:r>
      <w:r w:rsidRPr="00E51FA9">
        <w:rPr>
          <w:rFonts w:asciiTheme="majorBidi" w:hAnsiTheme="majorBidi" w:cstheme="majorBidi"/>
          <w:sz w:val="24"/>
          <w:szCs w:val="24"/>
        </w:rPr>
        <w:t xml:space="preserve"> individuals with intellectual disability in residential care (Marsland et al., 2007). Earlier in this report we briefly outlined the staff and managerial practices associated with good quality of life outcomes in supported accommodation services, and the characteristics of culture in poor or abusive services and those of better quality services (see Bigby &amp; Beadle</w:t>
      </w:r>
      <w:r w:rsidR="00536A37">
        <w:rPr>
          <w:rFonts w:asciiTheme="majorBidi" w:hAnsiTheme="majorBidi" w:cstheme="majorBidi"/>
          <w:sz w:val="24"/>
          <w:szCs w:val="24"/>
        </w:rPr>
        <w:t>-</w:t>
      </w:r>
      <w:r w:rsidRPr="00E51FA9">
        <w:rPr>
          <w:rFonts w:asciiTheme="majorBidi" w:hAnsiTheme="majorBidi" w:cstheme="majorBidi"/>
          <w:sz w:val="24"/>
          <w:szCs w:val="24"/>
        </w:rPr>
        <w:t>Brown, 2016a &amp;</w:t>
      </w:r>
      <w:r w:rsidR="00536A37">
        <w:rPr>
          <w:rFonts w:asciiTheme="majorBidi" w:hAnsiTheme="majorBidi" w:cstheme="majorBidi"/>
          <w:sz w:val="24"/>
          <w:szCs w:val="24"/>
        </w:rPr>
        <w:t xml:space="preserve"> </w:t>
      </w:r>
      <w:r w:rsidRPr="00E51FA9">
        <w:rPr>
          <w:rFonts w:asciiTheme="majorBidi" w:hAnsiTheme="majorBidi" w:cstheme="majorBidi"/>
          <w:sz w:val="24"/>
          <w:szCs w:val="24"/>
        </w:rPr>
        <w:t xml:space="preserve">b). </w:t>
      </w:r>
      <w:r w:rsidRPr="00E51FA9">
        <w:rPr>
          <w:rFonts w:asciiTheme="majorBidi" w:hAnsiTheme="majorBidi" w:cstheme="majorBidi"/>
          <w:sz w:val="24"/>
          <w:szCs w:val="24"/>
          <w:lang w:bidi="he-IL"/>
        </w:rPr>
        <w:t>Given this body of evidence, several authors have stressed the importance of moving away from what they identify as being primarily "procedural" or "managerial" responses to incidents of abuse</w:t>
      </w:r>
      <w:r w:rsidR="00536A37">
        <w:rPr>
          <w:rFonts w:asciiTheme="majorBidi" w:hAnsiTheme="majorBidi" w:cstheme="majorBidi"/>
          <w:sz w:val="24"/>
          <w:szCs w:val="24"/>
          <w:lang w:bidi="he-IL"/>
        </w:rPr>
        <w:t xml:space="preserve"> </w:t>
      </w:r>
      <w:r w:rsidRPr="00E51FA9">
        <w:rPr>
          <w:rFonts w:asciiTheme="majorBidi" w:hAnsiTheme="majorBidi" w:cstheme="majorBidi"/>
          <w:sz w:val="24"/>
          <w:szCs w:val="24"/>
          <w:lang w:bidi="he-IL"/>
        </w:rPr>
        <w:t>in services</w:t>
      </w:r>
      <w:r w:rsidR="00536A37">
        <w:rPr>
          <w:rFonts w:asciiTheme="majorBidi" w:hAnsiTheme="majorBidi" w:cstheme="majorBidi"/>
          <w:sz w:val="24"/>
          <w:szCs w:val="24"/>
          <w:lang w:bidi="he-IL"/>
        </w:rPr>
        <w:t xml:space="preserve">. Instead they suggest the importance of </w:t>
      </w:r>
      <w:r w:rsidRPr="00E51FA9">
        <w:rPr>
          <w:rFonts w:asciiTheme="majorBidi" w:hAnsiTheme="majorBidi" w:cstheme="majorBidi"/>
          <w:sz w:val="24"/>
          <w:szCs w:val="24"/>
          <w:lang w:bidi="he-IL"/>
        </w:rPr>
        <w:t xml:space="preserve">building strategies </w:t>
      </w:r>
      <w:r w:rsidR="00536A37">
        <w:rPr>
          <w:rFonts w:asciiTheme="majorBidi" w:hAnsiTheme="majorBidi" w:cstheme="majorBidi"/>
          <w:sz w:val="24"/>
          <w:szCs w:val="24"/>
          <w:lang w:bidi="he-IL"/>
        </w:rPr>
        <w:t>that</w:t>
      </w:r>
      <w:r w:rsidRPr="00E51FA9">
        <w:rPr>
          <w:rFonts w:asciiTheme="majorBidi" w:hAnsiTheme="majorBidi" w:cstheme="majorBidi"/>
          <w:sz w:val="24"/>
          <w:szCs w:val="24"/>
          <w:lang w:bidi="he-IL"/>
        </w:rPr>
        <w:t xml:space="preserve"> focus on chan</w:t>
      </w:r>
      <w:r w:rsidR="00536A37">
        <w:rPr>
          <w:rFonts w:asciiTheme="majorBidi" w:hAnsiTheme="majorBidi" w:cstheme="majorBidi"/>
          <w:sz w:val="24"/>
          <w:szCs w:val="24"/>
          <w:lang w:bidi="he-IL"/>
        </w:rPr>
        <w:t>ges to the culture and practice</w:t>
      </w:r>
      <w:r w:rsidRPr="00E51FA9">
        <w:rPr>
          <w:rFonts w:asciiTheme="majorBidi" w:hAnsiTheme="majorBidi" w:cstheme="majorBidi"/>
          <w:sz w:val="24"/>
          <w:szCs w:val="24"/>
          <w:lang w:bidi="he-IL"/>
        </w:rPr>
        <w:t xml:space="preserve"> of services, promoting "protective cultures" that have been proven to promote the fulfilment of human rights, quality of life and safeguarding for people with disabilities (</w:t>
      </w:r>
      <w:r w:rsidR="0003285E" w:rsidRPr="00E51FA9">
        <w:rPr>
          <w:rFonts w:asciiTheme="majorBidi" w:hAnsiTheme="majorBidi" w:cstheme="majorBidi"/>
          <w:sz w:val="24"/>
          <w:szCs w:val="24"/>
          <w:lang w:bidi="he-IL"/>
        </w:rPr>
        <w:t>Mandeville &amp; Hanson, 2000</w:t>
      </w:r>
      <w:r w:rsidR="0003285E">
        <w:rPr>
          <w:rFonts w:asciiTheme="majorBidi" w:hAnsiTheme="majorBidi" w:cstheme="majorBidi"/>
          <w:sz w:val="24"/>
          <w:szCs w:val="24"/>
          <w:lang w:bidi="he-IL"/>
        </w:rPr>
        <w:t xml:space="preserve">; </w:t>
      </w:r>
      <w:r w:rsidRPr="00E51FA9">
        <w:rPr>
          <w:rFonts w:asciiTheme="majorBidi" w:hAnsiTheme="majorBidi" w:cstheme="majorBidi"/>
          <w:sz w:val="24"/>
          <w:szCs w:val="24"/>
          <w:lang w:bidi="he-IL"/>
        </w:rPr>
        <w:t>Marsland et al., 2007; Robinson &amp; Chenoweth, 2011</w:t>
      </w:r>
      <w:r w:rsidR="00004D91">
        <w:rPr>
          <w:rFonts w:asciiTheme="majorBidi" w:hAnsiTheme="majorBidi" w:cstheme="majorBidi"/>
          <w:sz w:val="24"/>
          <w:szCs w:val="24"/>
          <w:lang w:bidi="he-IL"/>
        </w:rPr>
        <w:t>; 2012</w:t>
      </w:r>
      <w:r w:rsidRPr="00E51FA9">
        <w:rPr>
          <w:rFonts w:asciiTheme="majorBidi" w:hAnsiTheme="majorBidi" w:cstheme="majorBidi"/>
          <w:sz w:val="24"/>
          <w:szCs w:val="24"/>
          <w:lang w:bidi="he-IL"/>
        </w:rPr>
        <w:t>).</w:t>
      </w:r>
    </w:p>
    <w:p w14:paraId="4CF98B1E" w14:textId="02E52C54"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lang w:bidi="he-IL"/>
        </w:rPr>
        <w:t xml:space="preserve">Knowledge about culture in supported accommodation services developed from a program of rigorous research by </w:t>
      </w:r>
      <w:r w:rsidRPr="00E51FA9">
        <w:rPr>
          <w:rFonts w:asciiTheme="majorBidi" w:hAnsiTheme="majorBidi" w:cstheme="majorBidi"/>
          <w:sz w:val="24"/>
          <w:szCs w:val="24"/>
        </w:rPr>
        <w:t xml:space="preserve">Bigby and colleagues has the potential to inform quality assessment frameworks, staff training and the organisational structures and processes </w:t>
      </w:r>
      <w:r w:rsidR="00536A37">
        <w:rPr>
          <w:rFonts w:asciiTheme="majorBidi" w:hAnsiTheme="majorBidi" w:cstheme="majorBidi"/>
          <w:sz w:val="24"/>
          <w:szCs w:val="24"/>
        </w:rPr>
        <w:t xml:space="preserve">used by </w:t>
      </w:r>
      <w:r w:rsidRPr="00E51FA9">
        <w:rPr>
          <w:rFonts w:asciiTheme="majorBidi" w:hAnsiTheme="majorBidi" w:cstheme="majorBidi"/>
          <w:sz w:val="24"/>
          <w:szCs w:val="24"/>
        </w:rPr>
        <w:t xml:space="preserve">disability service organisations. Understanding the nature of culture provides, for example, a set of descriptors that could be used to develop information and observational tools for consumers, funders and regulators to support judgements and comparison of residential services. The dimensions can also be used to develop a measure of quality that could be used in </w:t>
      </w:r>
      <w:r w:rsidR="00536A37">
        <w:rPr>
          <w:rFonts w:asciiTheme="majorBidi" w:hAnsiTheme="majorBidi" w:cstheme="majorBidi"/>
          <w:sz w:val="24"/>
          <w:szCs w:val="24"/>
        </w:rPr>
        <w:t xml:space="preserve">service </w:t>
      </w:r>
      <w:r w:rsidR="001531CC">
        <w:rPr>
          <w:rFonts w:asciiTheme="majorBidi" w:hAnsiTheme="majorBidi" w:cstheme="majorBidi"/>
          <w:sz w:val="24"/>
          <w:szCs w:val="24"/>
        </w:rPr>
        <w:t>monitoring</w:t>
      </w:r>
      <w:r w:rsidR="00536A37">
        <w:rPr>
          <w:rFonts w:asciiTheme="majorBidi" w:hAnsiTheme="majorBidi" w:cstheme="majorBidi"/>
          <w:sz w:val="24"/>
          <w:szCs w:val="24"/>
        </w:rPr>
        <w:t xml:space="preserve">, </w:t>
      </w:r>
      <w:r w:rsidRPr="00E51FA9">
        <w:rPr>
          <w:rFonts w:asciiTheme="majorBidi" w:hAnsiTheme="majorBidi" w:cstheme="majorBidi"/>
          <w:sz w:val="24"/>
          <w:szCs w:val="24"/>
        </w:rPr>
        <w:t xml:space="preserve">research and service evaluation. </w:t>
      </w:r>
    </w:p>
    <w:p w14:paraId="74E7A820" w14:textId="5C7CA1C4" w:rsidR="00AA6150" w:rsidRPr="00E51FA9" w:rsidRDefault="00A44B87" w:rsidP="00AA6150">
      <w:pPr>
        <w:spacing w:after="120" w:line="360" w:lineRule="auto"/>
        <w:rPr>
          <w:rFonts w:asciiTheme="majorBidi" w:hAnsiTheme="majorBidi" w:cstheme="majorBidi"/>
          <w:sz w:val="24"/>
          <w:szCs w:val="24"/>
        </w:rPr>
      </w:pPr>
      <w:r w:rsidRPr="00E51FA9">
        <w:rPr>
          <w:rFonts w:asciiTheme="majorBidi" w:hAnsiTheme="majorBidi" w:cstheme="majorBidi"/>
          <w:sz w:val="24"/>
          <w:szCs w:val="24"/>
        </w:rPr>
        <w:t>In congruence with the socio-ecological model, the evidence suggests that dimensions of culture are not linear, as the different elements are mutually reinforcing. There is mutual interaction between</w:t>
      </w:r>
      <w:r w:rsidR="000041BE" w:rsidRPr="00E51FA9">
        <w:rPr>
          <w:rFonts w:asciiTheme="majorBidi" w:hAnsiTheme="majorBidi" w:cstheme="majorBidi"/>
          <w:sz w:val="24"/>
          <w:szCs w:val="24"/>
        </w:rPr>
        <w:t xml:space="preserve"> </w:t>
      </w:r>
      <w:r w:rsidR="00CA2193" w:rsidRPr="00E51FA9">
        <w:rPr>
          <w:rFonts w:asciiTheme="majorBidi" w:hAnsiTheme="majorBidi" w:cstheme="majorBidi"/>
          <w:sz w:val="24"/>
          <w:szCs w:val="24"/>
        </w:rPr>
        <w:t xml:space="preserve">the </w:t>
      </w:r>
      <w:r w:rsidR="00E51FA9" w:rsidRPr="00E51FA9">
        <w:rPr>
          <w:rFonts w:asciiTheme="majorBidi" w:hAnsiTheme="majorBidi" w:cstheme="majorBidi"/>
          <w:sz w:val="24"/>
          <w:szCs w:val="24"/>
        </w:rPr>
        <w:t>different dimensions</w:t>
      </w:r>
      <w:r w:rsidRPr="00E51FA9">
        <w:rPr>
          <w:rFonts w:asciiTheme="majorBidi" w:hAnsiTheme="majorBidi" w:cstheme="majorBidi"/>
          <w:sz w:val="24"/>
          <w:szCs w:val="24"/>
        </w:rPr>
        <w:t xml:space="preserve"> </w:t>
      </w:r>
      <w:r w:rsidR="00536A37">
        <w:rPr>
          <w:rFonts w:asciiTheme="majorBidi" w:hAnsiTheme="majorBidi" w:cstheme="majorBidi"/>
          <w:sz w:val="24"/>
          <w:szCs w:val="24"/>
        </w:rPr>
        <w:t xml:space="preserve">of culture, </w:t>
      </w:r>
      <w:r w:rsidRPr="00E51FA9">
        <w:rPr>
          <w:rFonts w:asciiTheme="majorBidi" w:hAnsiTheme="majorBidi" w:cstheme="majorBidi"/>
          <w:sz w:val="24"/>
          <w:szCs w:val="24"/>
        </w:rPr>
        <w:t xml:space="preserve">for example, the values of the power-holders, regard for residents, perceived purpose of staff work, working practices, and orientation to change. This knowledge provides a framework that pinpoints where action might be directed to bring about cultural change and suggests that intervention targeted at any one dimension will influence the other. </w:t>
      </w:r>
    </w:p>
    <w:p w14:paraId="61F117E7" w14:textId="079CD37E" w:rsidR="00A44B87" w:rsidRPr="00E51FA9" w:rsidRDefault="00A44B87" w:rsidP="00A44B87">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Using this understanding in designing broad prevention programs may </w:t>
      </w:r>
      <w:r w:rsidR="00B10D81">
        <w:rPr>
          <w:rFonts w:asciiTheme="majorBidi" w:hAnsiTheme="majorBidi" w:cstheme="majorBidi"/>
          <w:sz w:val="24"/>
          <w:szCs w:val="24"/>
        </w:rPr>
        <w:t xml:space="preserve">guide the </w:t>
      </w:r>
      <w:r w:rsidR="00B10D81" w:rsidRPr="00E51FA9">
        <w:rPr>
          <w:rFonts w:asciiTheme="majorBidi" w:hAnsiTheme="majorBidi" w:cstheme="majorBidi"/>
          <w:sz w:val="24"/>
          <w:szCs w:val="24"/>
        </w:rPr>
        <w:t xml:space="preserve">observation, judgment and evaluation of </w:t>
      </w:r>
      <w:r w:rsidR="00B10D81">
        <w:rPr>
          <w:rFonts w:asciiTheme="majorBidi" w:hAnsiTheme="majorBidi" w:cstheme="majorBidi"/>
          <w:sz w:val="24"/>
          <w:szCs w:val="24"/>
        </w:rPr>
        <w:t xml:space="preserve">supported accommodation by stakeholders such as </w:t>
      </w:r>
      <w:r w:rsidR="001531CC" w:rsidRPr="00E51FA9">
        <w:rPr>
          <w:rFonts w:asciiTheme="majorBidi" w:hAnsiTheme="majorBidi" w:cstheme="majorBidi"/>
          <w:sz w:val="24"/>
          <w:szCs w:val="24"/>
        </w:rPr>
        <w:t>community</w:t>
      </w:r>
      <w:r w:rsidRPr="00E51FA9">
        <w:rPr>
          <w:rFonts w:asciiTheme="majorBidi" w:hAnsiTheme="majorBidi" w:cstheme="majorBidi"/>
          <w:sz w:val="24"/>
          <w:szCs w:val="24"/>
        </w:rPr>
        <w:t xml:space="preserve"> visitors, funders, advocates and family members. For instance, a guide to visiting based on these indicators </w:t>
      </w:r>
      <w:r w:rsidRPr="00E51FA9">
        <w:rPr>
          <w:rFonts w:asciiTheme="majorBidi" w:hAnsiTheme="majorBidi" w:cstheme="majorBidi"/>
          <w:sz w:val="24"/>
          <w:szCs w:val="24"/>
        </w:rPr>
        <w:lastRenderedPageBreak/>
        <w:t>has already been adopted by the Victoria community visitor program (Bigby &amp; Bould, 2014). A research instrument to evaluate group home culture</w:t>
      </w:r>
      <w:r w:rsidR="00460210">
        <w:rPr>
          <w:rFonts w:asciiTheme="majorBidi" w:hAnsiTheme="majorBidi" w:cstheme="majorBidi"/>
          <w:sz w:val="24"/>
          <w:szCs w:val="24"/>
        </w:rPr>
        <w:t>, the Group Home Culture Scale</w:t>
      </w:r>
      <w:r w:rsidR="00C64B1F">
        <w:rPr>
          <w:rFonts w:asciiTheme="majorBidi" w:hAnsiTheme="majorBidi" w:cstheme="majorBidi"/>
          <w:sz w:val="24"/>
          <w:szCs w:val="24"/>
        </w:rPr>
        <w:t>,</w:t>
      </w:r>
      <w:r w:rsidRPr="00E51FA9">
        <w:rPr>
          <w:rFonts w:asciiTheme="majorBidi" w:hAnsiTheme="majorBidi" w:cstheme="majorBidi"/>
          <w:sz w:val="24"/>
          <w:szCs w:val="24"/>
        </w:rPr>
        <w:t xml:space="preserve"> is currently being developed and evaluated (Humphreys et al., </w:t>
      </w:r>
      <w:r w:rsidR="00C64B1F">
        <w:rPr>
          <w:rFonts w:asciiTheme="majorBidi" w:hAnsiTheme="majorBidi" w:cstheme="majorBidi"/>
          <w:sz w:val="24"/>
          <w:szCs w:val="24"/>
        </w:rPr>
        <w:t>2016)</w:t>
      </w:r>
    </w:p>
    <w:p w14:paraId="605029ED" w14:textId="2DC230EC" w:rsidR="00E51FA9" w:rsidRPr="00E51FA9" w:rsidRDefault="00A44B87" w:rsidP="00E51FA9">
      <w:pPr>
        <w:spacing w:after="120" w:line="360" w:lineRule="auto"/>
        <w:rPr>
          <w:rFonts w:asciiTheme="majorBidi" w:hAnsiTheme="majorBidi" w:cstheme="majorBidi"/>
          <w:sz w:val="24"/>
          <w:szCs w:val="24"/>
        </w:rPr>
      </w:pPr>
      <w:r w:rsidRPr="00E51FA9">
        <w:rPr>
          <w:rFonts w:asciiTheme="majorBidi" w:hAnsiTheme="majorBidi" w:cstheme="majorBidi"/>
          <w:sz w:val="24"/>
          <w:szCs w:val="24"/>
        </w:rPr>
        <w:t xml:space="preserve">This approach </w:t>
      </w:r>
      <w:r w:rsidR="00B10D81">
        <w:rPr>
          <w:rFonts w:asciiTheme="majorBidi" w:hAnsiTheme="majorBidi" w:cstheme="majorBidi"/>
          <w:sz w:val="24"/>
          <w:szCs w:val="24"/>
        </w:rPr>
        <w:t>m</w:t>
      </w:r>
      <w:r w:rsidR="00E51FA9" w:rsidRPr="00E51FA9">
        <w:rPr>
          <w:rFonts w:asciiTheme="majorBidi" w:hAnsiTheme="majorBidi" w:cstheme="majorBidi"/>
          <w:sz w:val="24"/>
          <w:szCs w:val="24"/>
        </w:rPr>
        <w:t>ay</w:t>
      </w:r>
      <w:r w:rsidRPr="00E51FA9">
        <w:rPr>
          <w:rFonts w:asciiTheme="majorBidi" w:hAnsiTheme="majorBidi" w:cstheme="majorBidi"/>
          <w:sz w:val="24"/>
          <w:szCs w:val="24"/>
        </w:rPr>
        <w:t xml:space="preserve"> also help to design the training and education of front line managers, support workers and people with disabilities. It seems that rather than providing staff with targeted training on abuse and prevention</w:t>
      </w:r>
      <w:r w:rsidR="00B10D81">
        <w:rPr>
          <w:rFonts w:asciiTheme="majorBidi" w:hAnsiTheme="majorBidi" w:cstheme="majorBidi"/>
          <w:sz w:val="24"/>
          <w:szCs w:val="24"/>
        </w:rPr>
        <w:t xml:space="preserve"> a better approach might be to incorporate this knowledge into </w:t>
      </w:r>
      <w:r w:rsidRPr="00E51FA9">
        <w:rPr>
          <w:rFonts w:asciiTheme="majorBidi" w:hAnsiTheme="majorBidi" w:cstheme="majorBidi"/>
          <w:sz w:val="24"/>
          <w:szCs w:val="24"/>
        </w:rPr>
        <w:t>ongoing training and support designed to ensure quality services and promot</w:t>
      </w:r>
      <w:r w:rsidR="00B10D81">
        <w:rPr>
          <w:rFonts w:asciiTheme="majorBidi" w:hAnsiTheme="majorBidi" w:cstheme="majorBidi"/>
          <w:sz w:val="24"/>
          <w:szCs w:val="24"/>
        </w:rPr>
        <w:t>e</w:t>
      </w:r>
      <w:r w:rsidRPr="00E51FA9">
        <w:rPr>
          <w:rFonts w:asciiTheme="majorBidi" w:hAnsiTheme="majorBidi" w:cstheme="majorBidi"/>
          <w:sz w:val="24"/>
          <w:szCs w:val="24"/>
        </w:rPr>
        <w:t xml:space="preserve"> quality of life, well-being and human rights of residents (</w:t>
      </w:r>
      <w:r w:rsidR="00291615" w:rsidRPr="00E51FA9">
        <w:rPr>
          <w:rFonts w:asciiTheme="majorBidi" w:hAnsiTheme="majorBidi" w:cstheme="majorBidi"/>
          <w:sz w:val="24"/>
          <w:szCs w:val="24"/>
        </w:rPr>
        <w:t>Robinson</w:t>
      </w:r>
      <w:r w:rsidR="00291615">
        <w:rPr>
          <w:rFonts w:asciiTheme="majorBidi" w:hAnsiTheme="majorBidi" w:cstheme="majorBidi"/>
          <w:sz w:val="24"/>
          <w:szCs w:val="24"/>
        </w:rPr>
        <w:t>,</w:t>
      </w:r>
      <w:r w:rsidR="00291615" w:rsidRPr="00E51FA9">
        <w:rPr>
          <w:rFonts w:asciiTheme="majorBidi" w:hAnsiTheme="majorBidi" w:cstheme="majorBidi"/>
          <w:sz w:val="24"/>
          <w:szCs w:val="24"/>
        </w:rPr>
        <w:t xml:space="preserve"> 2013</w:t>
      </w:r>
      <w:r w:rsidR="00291615">
        <w:rPr>
          <w:rFonts w:asciiTheme="majorBidi" w:hAnsiTheme="majorBidi" w:cstheme="majorBidi"/>
          <w:sz w:val="24"/>
          <w:szCs w:val="24"/>
        </w:rPr>
        <w:t xml:space="preserve">; </w:t>
      </w:r>
      <w:r w:rsidRPr="00E51FA9">
        <w:rPr>
          <w:rFonts w:asciiTheme="majorBidi" w:hAnsiTheme="majorBidi" w:cstheme="majorBidi"/>
          <w:sz w:val="24"/>
          <w:szCs w:val="24"/>
        </w:rPr>
        <w:t>Robinson &amp; Chenoweth 2011;</w:t>
      </w:r>
      <w:r w:rsidR="00004D91">
        <w:rPr>
          <w:rFonts w:asciiTheme="majorBidi" w:hAnsiTheme="majorBidi" w:cstheme="majorBidi"/>
          <w:sz w:val="24"/>
          <w:szCs w:val="24"/>
        </w:rPr>
        <w:t xml:space="preserve"> 2012</w:t>
      </w:r>
      <w:r w:rsidRPr="00E51FA9">
        <w:rPr>
          <w:rFonts w:asciiTheme="majorBidi" w:hAnsiTheme="majorBidi" w:cstheme="majorBidi"/>
          <w:sz w:val="24"/>
          <w:szCs w:val="24"/>
        </w:rPr>
        <w:t>).</w:t>
      </w:r>
    </w:p>
    <w:p w14:paraId="16A293C5" w14:textId="6F562B95" w:rsidR="00A44B87" w:rsidRPr="00E51FA9" w:rsidRDefault="00B10D81" w:rsidP="00E51FA9">
      <w:pPr>
        <w:spacing w:after="120" w:line="360" w:lineRule="auto"/>
        <w:rPr>
          <w:rFonts w:asciiTheme="majorBidi" w:hAnsiTheme="majorBidi" w:cstheme="majorBidi"/>
          <w:sz w:val="24"/>
          <w:szCs w:val="24"/>
        </w:rPr>
      </w:pPr>
      <w:r>
        <w:rPr>
          <w:sz w:val="24"/>
          <w:szCs w:val="24"/>
        </w:rPr>
        <w:t xml:space="preserve">To conclude, </w:t>
      </w:r>
      <w:r w:rsidR="00E51FA9" w:rsidRPr="00E51FA9">
        <w:rPr>
          <w:sz w:val="24"/>
          <w:szCs w:val="24"/>
        </w:rPr>
        <w:t>o</w:t>
      </w:r>
      <w:r>
        <w:rPr>
          <w:sz w:val="24"/>
          <w:szCs w:val="24"/>
        </w:rPr>
        <w:t>ur review of evidence in regard</w:t>
      </w:r>
      <w:r w:rsidR="00E51FA9" w:rsidRPr="00E51FA9">
        <w:rPr>
          <w:sz w:val="24"/>
          <w:szCs w:val="24"/>
        </w:rPr>
        <w:t xml:space="preserve">s </w:t>
      </w:r>
      <w:r w:rsidR="001531CC" w:rsidRPr="00E51FA9">
        <w:rPr>
          <w:sz w:val="24"/>
          <w:szCs w:val="24"/>
        </w:rPr>
        <w:t>to risk</w:t>
      </w:r>
      <w:r w:rsidR="00E51FA9" w:rsidRPr="00E51FA9">
        <w:rPr>
          <w:sz w:val="24"/>
          <w:szCs w:val="24"/>
        </w:rPr>
        <w:t xml:space="preserve"> and protective factors of abuse among individuals with intellectual disability </w:t>
      </w:r>
      <w:r>
        <w:rPr>
          <w:sz w:val="24"/>
          <w:szCs w:val="24"/>
        </w:rPr>
        <w:t xml:space="preserve">identifies the </w:t>
      </w:r>
      <w:r w:rsidR="00E51FA9" w:rsidRPr="00E51FA9">
        <w:rPr>
          <w:sz w:val="24"/>
          <w:szCs w:val="24"/>
        </w:rPr>
        <w:t>paucity of evidence-based prevention</w:t>
      </w:r>
      <w:r>
        <w:rPr>
          <w:sz w:val="24"/>
          <w:szCs w:val="24"/>
        </w:rPr>
        <w:t xml:space="preserve"> strategies. It suggests that the</w:t>
      </w:r>
      <w:r w:rsidR="00E51FA9" w:rsidRPr="00E51FA9">
        <w:rPr>
          <w:sz w:val="24"/>
          <w:szCs w:val="24"/>
        </w:rPr>
        <w:t xml:space="preserve"> dimensions of culture </w:t>
      </w:r>
      <w:r>
        <w:rPr>
          <w:sz w:val="24"/>
          <w:szCs w:val="24"/>
        </w:rPr>
        <w:t xml:space="preserve">in supported accommodation services </w:t>
      </w:r>
      <w:r w:rsidR="00E51FA9" w:rsidRPr="00E51FA9">
        <w:rPr>
          <w:sz w:val="24"/>
          <w:szCs w:val="24"/>
        </w:rPr>
        <w:t>recognised by Bigby and colleagues provide evidence-based indicators and examples of good practices that are associated with better safety and quality of life outcome for individuals with intellectual disabilities</w:t>
      </w:r>
      <w:r>
        <w:rPr>
          <w:sz w:val="24"/>
          <w:szCs w:val="24"/>
        </w:rPr>
        <w:t xml:space="preserve"> in these services</w:t>
      </w:r>
      <w:r w:rsidR="00E51FA9" w:rsidRPr="00E51FA9">
        <w:rPr>
          <w:sz w:val="24"/>
          <w:szCs w:val="24"/>
        </w:rPr>
        <w:t>.</w:t>
      </w:r>
      <w:r w:rsidR="00A44B87" w:rsidRPr="00E51FA9">
        <w:rPr>
          <w:sz w:val="24"/>
          <w:szCs w:val="24"/>
        </w:rPr>
        <w:br w:type="page"/>
      </w:r>
    </w:p>
    <w:p w14:paraId="760BA309" w14:textId="77777777" w:rsidR="00A44B87" w:rsidRPr="00E51FA9" w:rsidRDefault="00A44B87" w:rsidP="00B10D81">
      <w:pPr>
        <w:spacing w:after="120"/>
        <w:outlineLvl w:val="0"/>
        <w:rPr>
          <w:rFonts w:asciiTheme="majorBidi" w:hAnsiTheme="majorBidi" w:cstheme="majorBidi"/>
          <w:b/>
          <w:bCs/>
          <w:iCs/>
          <w:sz w:val="24"/>
          <w:szCs w:val="24"/>
        </w:rPr>
      </w:pPr>
      <w:r w:rsidRPr="00E51FA9">
        <w:rPr>
          <w:rFonts w:asciiTheme="majorBidi" w:hAnsiTheme="majorBidi" w:cstheme="majorBidi"/>
          <w:b/>
          <w:bCs/>
          <w:iCs/>
          <w:sz w:val="24"/>
          <w:szCs w:val="24"/>
        </w:rPr>
        <w:lastRenderedPageBreak/>
        <w:t>References</w:t>
      </w:r>
    </w:p>
    <w:p w14:paraId="377A927F" w14:textId="77777777" w:rsidR="00A44B87" w:rsidRPr="00E51FA9" w:rsidRDefault="00A44B87" w:rsidP="00B10D81">
      <w:pPr>
        <w:spacing w:after="120"/>
        <w:rPr>
          <w:rFonts w:asciiTheme="majorBidi" w:hAnsiTheme="majorBidi" w:cstheme="majorBidi"/>
          <w:iCs/>
          <w:sz w:val="24"/>
          <w:szCs w:val="24"/>
        </w:rPr>
      </w:pPr>
    </w:p>
    <w:p w14:paraId="2A733BAB" w14:textId="353F2672" w:rsidR="00A44B87" w:rsidRPr="00B10D81"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Anda, R. F., Felitti, V. J., Bremner, J. D., Walker, J. D., Whitfield, C. H., Perry, B. D., &amp; Giles, W. H. (2006). The enduring effects of abuse and related adverse experiences in childhood. </w:t>
      </w:r>
      <w:r w:rsidRPr="00E51FA9">
        <w:rPr>
          <w:rFonts w:asciiTheme="majorBidi" w:hAnsiTheme="majorBidi" w:cstheme="majorBidi"/>
          <w:i/>
          <w:iCs/>
          <w:sz w:val="24"/>
          <w:szCs w:val="24"/>
        </w:rPr>
        <w:t xml:space="preserve">European </w:t>
      </w:r>
      <w:r w:rsidR="00291615">
        <w:rPr>
          <w:rFonts w:asciiTheme="majorBidi" w:hAnsiTheme="majorBidi" w:cstheme="majorBidi"/>
          <w:i/>
          <w:iCs/>
          <w:sz w:val="24"/>
          <w:szCs w:val="24"/>
        </w:rPr>
        <w:t>A</w:t>
      </w:r>
      <w:r w:rsidRPr="00E51FA9">
        <w:rPr>
          <w:rFonts w:asciiTheme="majorBidi" w:hAnsiTheme="majorBidi" w:cstheme="majorBidi"/>
          <w:i/>
          <w:iCs/>
          <w:sz w:val="24"/>
          <w:szCs w:val="24"/>
        </w:rPr>
        <w:t xml:space="preserve">rchives of </w:t>
      </w:r>
      <w:r w:rsidR="00291615">
        <w:rPr>
          <w:rFonts w:asciiTheme="majorBidi" w:hAnsiTheme="majorBidi" w:cstheme="majorBidi"/>
          <w:i/>
          <w:iCs/>
          <w:sz w:val="24"/>
          <w:szCs w:val="24"/>
        </w:rPr>
        <w:t>P</w:t>
      </w:r>
      <w:r w:rsidRPr="00E51FA9">
        <w:rPr>
          <w:rFonts w:asciiTheme="majorBidi" w:hAnsiTheme="majorBidi" w:cstheme="majorBidi"/>
          <w:i/>
          <w:iCs/>
          <w:sz w:val="24"/>
          <w:szCs w:val="24"/>
        </w:rPr>
        <w:t xml:space="preserve">sychiatry and </w:t>
      </w:r>
      <w:r w:rsidR="00291615">
        <w:rPr>
          <w:rFonts w:asciiTheme="majorBidi" w:hAnsiTheme="majorBidi" w:cstheme="majorBidi"/>
          <w:i/>
          <w:iCs/>
          <w:sz w:val="24"/>
          <w:szCs w:val="24"/>
        </w:rPr>
        <w:t>C</w:t>
      </w:r>
      <w:r w:rsidRPr="00E51FA9">
        <w:rPr>
          <w:rFonts w:asciiTheme="majorBidi" w:hAnsiTheme="majorBidi" w:cstheme="majorBidi"/>
          <w:i/>
          <w:iCs/>
          <w:sz w:val="24"/>
          <w:szCs w:val="24"/>
        </w:rPr>
        <w:t xml:space="preserve">linical </w:t>
      </w:r>
      <w:r w:rsidR="00291615">
        <w:rPr>
          <w:rFonts w:asciiTheme="majorBidi" w:hAnsiTheme="majorBidi" w:cstheme="majorBidi"/>
          <w:i/>
          <w:iCs/>
          <w:sz w:val="24"/>
          <w:szCs w:val="24"/>
        </w:rPr>
        <w:t>N</w:t>
      </w:r>
      <w:r w:rsidRPr="00E51FA9">
        <w:rPr>
          <w:rFonts w:asciiTheme="majorBidi" w:hAnsiTheme="majorBidi" w:cstheme="majorBidi"/>
          <w:i/>
          <w:iCs/>
          <w:sz w:val="24"/>
          <w:szCs w:val="24"/>
        </w:rPr>
        <w:t>euroscience, 256</w:t>
      </w:r>
      <w:r w:rsidRPr="00FD6865">
        <w:rPr>
          <w:rFonts w:asciiTheme="majorBidi" w:hAnsiTheme="majorBidi" w:cstheme="majorBidi"/>
          <w:iCs/>
          <w:sz w:val="24"/>
          <w:szCs w:val="24"/>
        </w:rPr>
        <w:t>(3)</w:t>
      </w:r>
      <w:r w:rsidRPr="00291615">
        <w:rPr>
          <w:rFonts w:asciiTheme="majorBidi" w:hAnsiTheme="majorBidi" w:cstheme="majorBidi"/>
          <w:sz w:val="24"/>
          <w:szCs w:val="24"/>
        </w:rPr>
        <w:t>,</w:t>
      </w:r>
      <w:r w:rsidRPr="00E51FA9">
        <w:rPr>
          <w:rFonts w:asciiTheme="majorBidi" w:hAnsiTheme="majorBidi" w:cstheme="majorBidi"/>
          <w:sz w:val="24"/>
          <w:szCs w:val="24"/>
        </w:rPr>
        <w:t xml:space="preserve"> 174-186.</w:t>
      </w:r>
    </w:p>
    <w:p w14:paraId="0584B6CA" w14:textId="77777777" w:rsidR="00B10D81" w:rsidRDefault="00B10D81" w:rsidP="00B10D81">
      <w:pPr>
        <w:spacing w:after="60"/>
        <w:rPr>
          <w:rFonts w:asciiTheme="majorBidi" w:hAnsiTheme="majorBidi" w:cstheme="majorBidi"/>
          <w:iCs/>
          <w:sz w:val="24"/>
          <w:szCs w:val="24"/>
        </w:rPr>
      </w:pPr>
    </w:p>
    <w:p w14:paraId="18BA0798" w14:textId="2587F649"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 xml:space="preserve">Arksey, H. &amp; O'Malley, L. (2005). Scoping studies: </w:t>
      </w:r>
      <w:r w:rsidR="00291615">
        <w:rPr>
          <w:rFonts w:asciiTheme="majorBidi" w:hAnsiTheme="majorBidi" w:cstheme="majorBidi"/>
          <w:iCs/>
          <w:sz w:val="24"/>
          <w:szCs w:val="24"/>
        </w:rPr>
        <w:t>T</w:t>
      </w:r>
      <w:r w:rsidRPr="00E51FA9">
        <w:rPr>
          <w:rFonts w:asciiTheme="majorBidi" w:hAnsiTheme="majorBidi" w:cstheme="majorBidi"/>
          <w:iCs/>
          <w:sz w:val="24"/>
          <w:szCs w:val="24"/>
        </w:rPr>
        <w:t xml:space="preserve">owards a methodological framework. </w:t>
      </w:r>
      <w:r w:rsidRPr="00E51FA9">
        <w:rPr>
          <w:rFonts w:asciiTheme="majorBidi" w:hAnsiTheme="majorBidi" w:cstheme="majorBidi"/>
          <w:i/>
          <w:sz w:val="24"/>
          <w:szCs w:val="24"/>
        </w:rPr>
        <w:t xml:space="preserve">International </w:t>
      </w:r>
      <w:r w:rsidR="00291615">
        <w:rPr>
          <w:rFonts w:asciiTheme="majorBidi" w:hAnsiTheme="majorBidi" w:cstheme="majorBidi"/>
          <w:i/>
          <w:sz w:val="24"/>
          <w:szCs w:val="24"/>
        </w:rPr>
        <w:t>J</w:t>
      </w:r>
      <w:r w:rsidRPr="00E51FA9">
        <w:rPr>
          <w:rFonts w:asciiTheme="majorBidi" w:hAnsiTheme="majorBidi" w:cstheme="majorBidi"/>
          <w:i/>
          <w:sz w:val="24"/>
          <w:szCs w:val="24"/>
        </w:rPr>
        <w:t xml:space="preserve">ournal of </w:t>
      </w:r>
      <w:r w:rsidR="00291615">
        <w:rPr>
          <w:rFonts w:asciiTheme="majorBidi" w:hAnsiTheme="majorBidi" w:cstheme="majorBidi"/>
          <w:i/>
          <w:sz w:val="24"/>
          <w:szCs w:val="24"/>
        </w:rPr>
        <w:t>S</w:t>
      </w:r>
      <w:r w:rsidRPr="00E51FA9">
        <w:rPr>
          <w:rFonts w:asciiTheme="majorBidi" w:hAnsiTheme="majorBidi" w:cstheme="majorBidi"/>
          <w:i/>
          <w:sz w:val="24"/>
          <w:szCs w:val="24"/>
        </w:rPr>
        <w:t xml:space="preserve">ocial </w:t>
      </w:r>
      <w:r w:rsidR="00291615">
        <w:rPr>
          <w:rFonts w:asciiTheme="majorBidi" w:hAnsiTheme="majorBidi" w:cstheme="majorBidi"/>
          <w:i/>
          <w:sz w:val="24"/>
          <w:szCs w:val="24"/>
        </w:rPr>
        <w:t>R</w:t>
      </w:r>
      <w:r w:rsidRPr="00E51FA9">
        <w:rPr>
          <w:rFonts w:asciiTheme="majorBidi" w:hAnsiTheme="majorBidi" w:cstheme="majorBidi"/>
          <w:i/>
          <w:sz w:val="24"/>
          <w:szCs w:val="24"/>
        </w:rPr>
        <w:t xml:space="preserve">esearch </w:t>
      </w:r>
      <w:r w:rsidR="00291615">
        <w:rPr>
          <w:rFonts w:asciiTheme="majorBidi" w:hAnsiTheme="majorBidi" w:cstheme="majorBidi"/>
          <w:i/>
          <w:sz w:val="24"/>
          <w:szCs w:val="24"/>
        </w:rPr>
        <w:t>M</w:t>
      </w:r>
      <w:r w:rsidRPr="00E51FA9">
        <w:rPr>
          <w:rFonts w:asciiTheme="majorBidi" w:hAnsiTheme="majorBidi" w:cstheme="majorBidi"/>
          <w:i/>
          <w:sz w:val="24"/>
          <w:szCs w:val="24"/>
        </w:rPr>
        <w:t>ethodology, 8</w:t>
      </w:r>
      <w:r w:rsidRPr="00FD6865">
        <w:rPr>
          <w:rFonts w:asciiTheme="majorBidi" w:hAnsiTheme="majorBidi" w:cstheme="majorBidi"/>
          <w:sz w:val="24"/>
          <w:szCs w:val="24"/>
        </w:rPr>
        <w:t>(1),</w:t>
      </w:r>
      <w:r w:rsidRPr="00E51FA9">
        <w:rPr>
          <w:rFonts w:asciiTheme="majorBidi" w:hAnsiTheme="majorBidi" w:cstheme="majorBidi"/>
          <w:iCs/>
          <w:sz w:val="24"/>
          <w:szCs w:val="24"/>
        </w:rPr>
        <w:t xml:space="preserve"> 19-32.</w:t>
      </w:r>
    </w:p>
    <w:p w14:paraId="4F651A74" w14:textId="77777777" w:rsidR="00B10D81" w:rsidRDefault="00B10D81" w:rsidP="00B10D81">
      <w:pPr>
        <w:spacing w:after="60"/>
        <w:rPr>
          <w:rFonts w:asciiTheme="majorBidi" w:eastAsia="MS Mincho" w:hAnsiTheme="majorBidi" w:cstheme="majorBidi"/>
          <w:sz w:val="24"/>
          <w:szCs w:val="24"/>
          <w:lang w:val="en-US"/>
        </w:rPr>
      </w:pPr>
    </w:p>
    <w:p w14:paraId="399FDE74" w14:textId="3708D3C0" w:rsidR="00A44B87" w:rsidRPr="00B10D81" w:rsidRDefault="00A44B87" w:rsidP="00B10D81">
      <w:pPr>
        <w:spacing w:after="60"/>
        <w:rPr>
          <w:rFonts w:asciiTheme="majorBidi" w:hAnsiTheme="majorBidi" w:cstheme="majorBidi"/>
          <w:iCs/>
          <w:sz w:val="24"/>
          <w:szCs w:val="24"/>
        </w:rPr>
      </w:pPr>
      <w:r w:rsidRPr="00E51FA9">
        <w:rPr>
          <w:rFonts w:asciiTheme="majorBidi" w:eastAsia="MS Mincho" w:hAnsiTheme="majorBidi" w:cstheme="majorBidi"/>
          <w:sz w:val="24"/>
          <w:szCs w:val="24"/>
          <w:lang w:val="en-US"/>
        </w:rPr>
        <w:t>Beadle</w:t>
      </w:r>
      <w:r w:rsidR="00B10D81">
        <w:rPr>
          <w:rFonts w:asciiTheme="majorBidi" w:eastAsia="MS Mincho" w:hAnsiTheme="majorBidi" w:cstheme="majorBidi"/>
          <w:sz w:val="24"/>
          <w:szCs w:val="24"/>
          <w:lang w:val="en-US"/>
        </w:rPr>
        <w:t>-</w:t>
      </w:r>
      <w:r w:rsidRPr="00E51FA9">
        <w:rPr>
          <w:rFonts w:asciiTheme="majorBidi" w:eastAsia="MS Mincho" w:hAnsiTheme="majorBidi" w:cstheme="majorBidi"/>
          <w:sz w:val="24"/>
          <w:szCs w:val="24"/>
          <w:lang w:val="en-US"/>
        </w:rPr>
        <w:t>Brown, J., Bigby, C.</w:t>
      </w:r>
      <w:r w:rsidR="00783D53">
        <w:rPr>
          <w:rFonts w:asciiTheme="majorBidi" w:eastAsia="MS Mincho" w:hAnsiTheme="majorBidi" w:cstheme="majorBidi"/>
          <w:sz w:val="24"/>
          <w:szCs w:val="24"/>
          <w:lang w:val="en-US"/>
        </w:rPr>
        <w:t>,</w:t>
      </w:r>
      <w:r w:rsidR="00291615">
        <w:rPr>
          <w:rFonts w:asciiTheme="majorBidi" w:eastAsia="MS Mincho" w:hAnsiTheme="majorBidi" w:cstheme="majorBidi"/>
          <w:sz w:val="24"/>
          <w:szCs w:val="24"/>
          <w:lang w:val="en-US"/>
        </w:rPr>
        <w:t xml:space="preserve"> &amp;</w:t>
      </w:r>
      <w:r w:rsidRPr="00E51FA9">
        <w:rPr>
          <w:rFonts w:asciiTheme="majorBidi" w:eastAsia="MS Mincho" w:hAnsiTheme="majorBidi" w:cstheme="majorBidi"/>
          <w:sz w:val="24"/>
          <w:szCs w:val="24"/>
          <w:lang w:val="en-US"/>
        </w:rPr>
        <w:t xml:space="preserve"> Bould, E. (2015). Observing practice leadership in intellectual and developmental disability services. </w:t>
      </w:r>
      <w:hyperlink r:id="rId21" w:history="1">
        <w:r w:rsidRPr="00E51FA9">
          <w:rPr>
            <w:rFonts w:asciiTheme="majorBidi" w:eastAsia="MS Mincho" w:hAnsiTheme="majorBidi" w:cstheme="majorBidi"/>
            <w:i/>
            <w:iCs/>
            <w:sz w:val="24"/>
            <w:szCs w:val="24"/>
            <w:lang w:val="en-US"/>
          </w:rPr>
          <w:t>Journal of Intellectual Disability Research</w:t>
        </w:r>
      </w:hyperlink>
      <w:r w:rsidR="00291615">
        <w:rPr>
          <w:rFonts w:asciiTheme="majorBidi" w:eastAsia="MS Mincho" w:hAnsiTheme="majorBidi" w:cstheme="majorBidi"/>
          <w:i/>
          <w:iCs/>
          <w:sz w:val="24"/>
          <w:szCs w:val="24"/>
          <w:lang w:val="en-US"/>
        </w:rPr>
        <w:t>,</w:t>
      </w:r>
      <w:r w:rsidRPr="00E51FA9">
        <w:rPr>
          <w:rFonts w:asciiTheme="majorBidi" w:hAnsiTheme="majorBidi" w:cstheme="majorBidi"/>
          <w:i/>
          <w:iCs/>
          <w:sz w:val="24"/>
          <w:szCs w:val="24"/>
          <w:lang w:val="en"/>
        </w:rPr>
        <w:t xml:space="preserve"> </w:t>
      </w:r>
      <w:r w:rsidRPr="00E51FA9">
        <w:rPr>
          <w:rFonts w:asciiTheme="majorBidi" w:hAnsiTheme="majorBidi" w:cstheme="majorBidi"/>
          <w:i/>
          <w:iCs/>
          <w:sz w:val="24"/>
          <w:szCs w:val="24"/>
          <w:lang w:eastAsia="en-AU"/>
        </w:rPr>
        <w:t>59</w:t>
      </w:r>
      <w:r w:rsidR="00291615" w:rsidRPr="00FD6865">
        <w:rPr>
          <w:rFonts w:asciiTheme="majorBidi" w:hAnsiTheme="majorBidi" w:cstheme="majorBidi"/>
          <w:iCs/>
          <w:sz w:val="24"/>
          <w:szCs w:val="24"/>
          <w:lang w:eastAsia="en-AU"/>
        </w:rPr>
        <w:t>(</w:t>
      </w:r>
      <w:r w:rsidRPr="00FD6865">
        <w:rPr>
          <w:rFonts w:asciiTheme="majorBidi" w:hAnsiTheme="majorBidi" w:cstheme="majorBidi"/>
          <w:iCs/>
          <w:sz w:val="24"/>
          <w:szCs w:val="24"/>
          <w:lang w:eastAsia="en-AU"/>
        </w:rPr>
        <w:t>12</w:t>
      </w:r>
      <w:r w:rsidR="00291615" w:rsidRPr="00FD6865">
        <w:rPr>
          <w:rFonts w:asciiTheme="majorBidi" w:hAnsiTheme="majorBidi" w:cstheme="majorBidi"/>
          <w:iCs/>
          <w:sz w:val="24"/>
          <w:szCs w:val="24"/>
          <w:lang w:eastAsia="en-AU"/>
        </w:rPr>
        <w:t>)</w:t>
      </w:r>
      <w:r w:rsidRPr="00E51FA9">
        <w:rPr>
          <w:rFonts w:asciiTheme="majorBidi" w:hAnsiTheme="majorBidi" w:cstheme="majorBidi"/>
          <w:i/>
          <w:iCs/>
          <w:sz w:val="24"/>
          <w:szCs w:val="24"/>
          <w:lang w:eastAsia="en-AU"/>
        </w:rPr>
        <w:t>,</w:t>
      </w:r>
      <w:r w:rsidRPr="00E51FA9">
        <w:rPr>
          <w:rFonts w:asciiTheme="majorBidi" w:hAnsiTheme="majorBidi" w:cstheme="majorBidi"/>
          <w:sz w:val="24"/>
          <w:szCs w:val="24"/>
          <w:lang w:eastAsia="en-AU"/>
        </w:rPr>
        <w:t xml:space="preserve"> 1081–1093</w:t>
      </w:r>
      <w:r w:rsidR="00291615">
        <w:rPr>
          <w:rFonts w:asciiTheme="majorBidi" w:hAnsiTheme="majorBidi" w:cstheme="majorBidi"/>
          <w:sz w:val="24"/>
          <w:szCs w:val="24"/>
          <w:lang w:eastAsia="en-AU"/>
        </w:rPr>
        <w:t>.</w:t>
      </w:r>
      <w:r w:rsidRPr="00E51FA9">
        <w:rPr>
          <w:rFonts w:asciiTheme="majorBidi" w:hAnsiTheme="majorBidi" w:cstheme="majorBidi"/>
          <w:sz w:val="24"/>
          <w:szCs w:val="24"/>
          <w:lang w:eastAsia="en-AU"/>
        </w:rPr>
        <w:t xml:space="preserve"> </w:t>
      </w:r>
      <w:r w:rsidRPr="00E51FA9">
        <w:rPr>
          <w:rFonts w:asciiTheme="majorBidi" w:hAnsiTheme="majorBidi" w:cstheme="majorBidi"/>
          <w:sz w:val="24"/>
          <w:szCs w:val="24"/>
          <w:lang w:val="en"/>
        </w:rPr>
        <w:t>D</w:t>
      </w:r>
      <w:r w:rsidR="00291615">
        <w:rPr>
          <w:rFonts w:asciiTheme="majorBidi" w:hAnsiTheme="majorBidi" w:cstheme="majorBidi"/>
          <w:sz w:val="24"/>
          <w:szCs w:val="24"/>
          <w:lang w:val="en"/>
        </w:rPr>
        <w:t>oi</w:t>
      </w:r>
      <w:r w:rsidRPr="00E51FA9">
        <w:rPr>
          <w:rFonts w:asciiTheme="majorBidi" w:hAnsiTheme="majorBidi" w:cstheme="majorBidi"/>
          <w:sz w:val="24"/>
          <w:szCs w:val="24"/>
          <w:lang w:val="en"/>
        </w:rPr>
        <w:t>: 10.1111/jir.12208</w:t>
      </w:r>
    </w:p>
    <w:p w14:paraId="22A597B5" w14:textId="77777777" w:rsidR="00B10D81" w:rsidRDefault="00B10D81" w:rsidP="00B10D81">
      <w:pPr>
        <w:spacing w:after="60"/>
        <w:rPr>
          <w:rFonts w:asciiTheme="majorBidi" w:hAnsiTheme="majorBidi" w:cstheme="majorBidi"/>
          <w:sz w:val="24"/>
          <w:szCs w:val="24"/>
        </w:rPr>
      </w:pPr>
    </w:p>
    <w:p w14:paraId="4525CA4D" w14:textId="0169931A"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Beadle</w:t>
      </w:r>
      <w:r w:rsidRPr="00E51FA9">
        <w:rPr>
          <w:rFonts w:ascii="Calibri" w:eastAsia="Calibri" w:hAnsi="Calibri" w:cs="Calibri"/>
          <w:sz w:val="24"/>
          <w:szCs w:val="24"/>
        </w:rPr>
        <w:t>‐</w:t>
      </w:r>
      <w:r w:rsidRPr="00E51FA9">
        <w:rPr>
          <w:rFonts w:asciiTheme="majorBidi" w:hAnsiTheme="majorBidi" w:cstheme="majorBidi"/>
          <w:sz w:val="24"/>
          <w:szCs w:val="24"/>
        </w:rPr>
        <w:t xml:space="preserve">Brown, J., Mansell, J., Cambridge, P., Milne, A. &amp; Whelton, B. (2010). Adult protection of people with intellectual disabilities: incidence, nature and responses. </w:t>
      </w:r>
      <w:r w:rsidRPr="00E51FA9">
        <w:rPr>
          <w:rFonts w:asciiTheme="majorBidi" w:hAnsiTheme="majorBidi" w:cstheme="majorBidi"/>
          <w:i/>
          <w:iCs/>
          <w:sz w:val="24"/>
          <w:szCs w:val="24"/>
        </w:rPr>
        <w:t>Journal of Applied Research in Intellectual Disabilities, 23</w:t>
      </w:r>
      <w:r w:rsidRPr="00FD6865">
        <w:rPr>
          <w:rFonts w:asciiTheme="majorBidi" w:hAnsiTheme="majorBidi" w:cstheme="majorBidi"/>
          <w:iCs/>
          <w:sz w:val="24"/>
          <w:szCs w:val="24"/>
        </w:rPr>
        <w:t>(6),</w:t>
      </w:r>
      <w:r w:rsidRPr="00E51FA9">
        <w:rPr>
          <w:rFonts w:asciiTheme="majorBidi" w:hAnsiTheme="majorBidi" w:cstheme="majorBidi"/>
          <w:sz w:val="24"/>
          <w:szCs w:val="24"/>
        </w:rPr>
        <w:t xml:space="preserve"> 573-584.</w:t>
      </w:r>
    </w:p>
    <w:p w14:paraId="55CED4B9" w14:textId="082660F9"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lang w:eastAsia="en-AU" w:bidi="he-IL"/>
        </w:rPr>
        <w:br/>
      </w:r>
      <w:r w:rsidRPr="00E51FA9">
        <w:rPr>
          <w:rFonts w:asciiTheme="majorBidi" w:hAnsiTheme="majorBidi" w:cstheme="majorBidi"/>
          <w:sz w:val="24"/>
          <w:szCs w:val="24"/>
        </w:rPr>
        <w:t xml:space="preserve">Bigby, C., &amp; Beadle-Brown, J. (2016a). Improving quality of life outcomes in supported accommodation for people with intellectual disability: What makes a difference? </w:t>
      </w:r>
      <w:r w:rsidRPr="00E51FA9">
        <w:rPr>
          <w:rFonts w:asciiTheme="majorBidi" w:hAnsiTheme="majorBidi" w:cstheme="majorBidi"/>
          <w:i/>
          <w:sz w:val="24"/>
          <w:szCs w:val="24"/>
        </w:rPr>
        <w:t>Journal of Applied Research in Intellectual Disabilities.</w:t>
      </w:r>
      <w:r w:rsidRPr="00E51FA9">
        <w:rPr>
          <w:rFonts w:asciiTheme="majorBidi" w:hAnsiTheme="majorBidi" w:cstheme="majorBidi"/>
          <w:sz w:val="24"/>
          <w:szCs w:val="24"/>
        </w:rPr>
        <w:t xml:space="preserve"> </w:t>
      </w:r>
      <w:r w:rsidR="00291615" w:rsidRPr="004052EC">
        <w:rPr>
          <w:rFonts w:asciiTheme="majorBidi" w:hAnsiTheme="majorBidi" w:cstheme="majorBidi"/>
          <w:sz w:val="24"/>
          <w:szCs w:val="24"/>
        </w:rPr>
        <w:t>D</w:t>
      </w:r>
      <w:r w:rsidR="00291615" w:rsidRPr="004052EC">
        <w:rPr>
          <w:sz w:val="24"/>
          <w:szCs w:val="24"/>
        </w:rPr>
        <w:t>oi</w:t>
      </w:r>
      <w:r w:rsidR="00291615" w:rsidRPr="004052EC">
        <w:rPr>
          <w:rFonts w:asciiTheme="majorBidi" w:hAnsiTheme="majorBidi" w:cstheme="majorBidi"/>
          <w:sz w:val="24"/>
          <w:szCs w:val="24"/>
        </w:rPr>
        <w:t>:</w:t>
      </w:r>
      <w:r w:rsidR="004052EC" w:rsidRPr="004052EC">
        <w:rPr>
          <w:rFonts w:asciiTheme="majorBidi" w:hAnsiTheme="majorBidi" w:cstheme="majorBidi"/>
          <w:sz w:val="24"/>
          <w:szCs w:val="24"/>
        </w:rPr>
        <w:t xml:space="preserve"> </w:t>
      </w:r>
      <w:r w:rsidR="00291615" w:rsidRPr="004052EC">
        <w:rPr>
          <w:sz w:val="24"/>
          <w:szCs w:val="24"/>
        </w:rPr>
        <w:t>10.1111/jar.12291/full</w:t>
      </w:r>
    </w:p>
    <w:p w14:paraId="7AC3947F" w14:textId="77777777" w:rsidR="00A44B87" w:rsidRPr="00E51FA9" w:rsidRDefault="00A44B87" w:rsidP="00B10D81">
      <w:pPr>
        <w:widowControl w:val="0"/>
        <w:autoSpaceDE w:val="0"/>
        <w:autoSpaceDN w:val="0"/>
        <w:adjustRightInd w:val="0"/>
        <w:spacing w:after="60"/>
        <w:rPr>
          <w:rFonts w:asciiTheme="majorBidi" w:eastAsiaTheme="minorHAnsi" w:hAnsiTheme="majorBidi" w:cstheme="majorBidi"/>
          <w:iCs/>
          <w:sz w:val="24"/>
          <w:szCs w:val="24"/>
          <w:lang w:val="en-CA"/>
        </w:rPr>
      </w:pPr>
    </w:p>
    <w:p w14:paraId="3C24BD6E" w14:textId="6EE82F27" w:rsidR="00A44B87" w:rsidRPr="00C64B1F" w:rsidRDefault="00A44B87" w:rsidP="00B10D81">
      <w:pPr>
        <w:widowControl w:val="0"/>
        <w:autoSpaceDE w:val="0"/>
        <w:autoSpaceDN w:val="0"/>
        <w:adjustRightInd w:val="0"/>
        <w:spacing w:after="60"/>
        <w:rPr>
          <w:rFonts w:asciiTheme="majorBidi" w:eastAsiaTheme="minorHAnsi" w:hAnsiTheme="majorBidi" w:cstheme="majorBidi"/>
          <w:iCs/>
          <w:sz w:val="24"/>
          <w:szCs w:val="24"/>
        </w:rPr>
      </w:pPr>
      <w:r w:rsidRPr="00E51FA9">
        <w:rPr>
          <w:rFonts w:asciiTheme="majorBidi" w:eastAsiaTheme="minorHAnsi" w:hAnsiTheme="majorBidi" w:cstheme="majorBidi"/>
          <w:iCs/>
          <w:sz w:val="24"/>
          <w:szCs w:val="24"/>
        </w:rPr>
        <w:t xml:space="preserve">Bigby, C., &amp; Beadle-Brown, J. (2016b) Culture in better group homes for people with severe and profound intellectual disability. </w:t>
      </w:r>
      <w:r w:rsidRPr="00E51FA9">
        <w:rPr>
          <w:rFonts w:asciiTheme="majorBidi" w:eastAsiaTheme="minorHAnsi" w:hAnsiTheme="majorBidi" w:cstheme="majorBidi"/>
          <w:i/>
          <w:iCs/>
          <w:sz w:val="24"/>
          <w:szCs w:val="24"/>
        </w:rPr>
        <w:t xml:space="preserve">Intellectual and Developmental </w:t>
      </w:r>
      <w:r w:rsidR="00861FCE" w:rsidRPr="00E51FA9">
        <w:rPr>
          <w:rFonts w:asciiTheme="majorBidi" w:eastAsiaTheme="minorHAnsi" w:hAnsiTheme="majorBidi" w:cstheme="majorBidi"/>
          <w:i/>
          <w:iCs/>
          <w:sz w:val="24"/>
          <w:szCs w:val="24"/>
        </w:rPr>
        <w:t>Disabilities, 54</w:t>
      </w:r>
      <w:r w:rsidRPr="00BB7287">
        <w:rPr>
          <w:rFonts w:asciiTheme="majorBidi" w:eastAsiaTheme="minorHAnsi" w:hAnsiTheme="majorBidi" w:cstheme="majorBidi"/>
          <w:iCs/>
          <w:sz w:val="24"/>
          <w:szCs w:val="24"/>
        </w:rPr>
        <w:t>, 316</w:t>
      </w:r>
      <w:r w:rsidR="00783D53">
        <w:rPr>
          <w:rFonts w:asciiTheme="majorBidi" w:eastAsiaTheme="minorHAnsi" w:hAnsiTheme="majorBidi" w:cstheme="majorBidi"/>
          <w:iCs/>
          <w:sz w:val="24"/>
          <w:szCs w:val="24"/>
        </w:rPr>
        <w:t>-</w:t>
      </w:r>
      <w:r w:rsidRPr="00BB7287">
        <w:rPr>
          <w:rFonts w:asciiTheme="majorBidi" w:eastAsiaTheme="minorHAnsi" w:hAnsiTheme="majorBidi" w:cstheme="majorBidi"/>
          <w:iCs/>
          <w:sz w:val="24"/>
          <w:szCs w:val="24"/>
        </w:rPr>
        <w:t>331</w:t>
      </w:r>
      <w:r w:rsidR="00783D53">
        <w:rPr>
          <w:rFonts w:asciiTheme="majorBidi" w:eastAsiaTheme="minorHAnsi" w:hAnsiTheme="majorBidi" w:cstheme="majorBidi"/>
          <w:iCs/>
          <w:sz w:val="24"/>
          <w:szCs w:val="24"/>
        </w:rPr>
        <w:t>.</w:t>
      </w:r>
      <w:r w:rsidRPr="00E51FA9">
        <w:rPr>
          <w:rFonts w:asciiTheme="majorBidi" w:eastAsiaTheme="minorHAnsi" w:hAnsiTheme="majorBidi" w:cstheme="majorBidi"/>
          <w:i/>
          <w:iCs/>
          <w:sz w:val="24"/>
          <w:szCs w:val="24"/>
        </w:rPr>
        <w:t xml:space="preserve"> </w:t>
      </w:r>
      <w:r w:rsidR="00783D53" w:rsidRPr="00E51FA9">
        <w:rPr>
          <w:rFonts w:asciiTheme="majorBidi" w:eastAsiaTheme="minorHAnsi" w:hAnsiTheme="majorBidi" w:cstheme="majorBidi"/>
          <w:iCs/>
          <w:sz w:val="24"/>
          <w:szCs w:val="24"/>
          <w:u w:val="single"/>
        </w:rPr>
        <w:t xml:space="preserve"> </w:t>
      </w:r>
      <w:r w:rsidR="00783D53" w:rsidRPr="00C64B1F">
        <w:rPr>
          <w:rFonts w:asciiTheme="majorBidi" w:eastAsiaTheme="minorHAnsi" w:hAnsiTheme="majorBidi" w:cstheme="majorBidi"/>
          <w:iCs/>
          <w:sz w:val="24"/>
          <w:szCs w:val="24"/>
        </w:rPr>
        <w:t>Doi: 10.1352/1934-9556-54.5.316</w:t>
      </w:r>
    </w:p>
    <w:p w14:paraId="6883F103" w14:textId="77777777" w:rsidR="00A44B87" w:rsidRPr="00460210" w:rsidRDefault="00A44B87" w:rsidP="00B10D81">
      <w:pPr>
        <w:spacing w:after="60"/>
        <w:rPr>
          <w:rFonts w:asciiTheme="majorBidi" w:hAnsiTheme="majorBidi" w:cstheme="majorBidi"/>
          <w:sz w:val="24"/>
          <w:szCs w:val="24"/>
        </w:rPr>
      </w:pPr>
    </w:p>
    <w:p w14:paraId="28C1E7F1" w14:textId="1CC96165" w:rsidR="00A44B87" w:rsidRPr="00E51FA9" w:rsidRDefault="00A44B87" w:rsidP="00B10D81">
      <w:pPr>
        <w:spacing w:after="60"/>
        <w:rPr>
          <w:rFonts w:asciiTheme="majorBidi" w:hAnsiTheme="majorBidi" w:cstheme="majorBidi"/>
          <w:sz w:val="24"/>
          <w:szCs w:val="24"/>
          <w:u w:val="single"/>
        </w:rPr>
      </w:pPr>
      <w:r w:rsidRPr="00E51FA9">
        <w:rPr>
          <w:rFonts w:asciiTheme="majorBidi" w:hAnsiTheme="majorBidi" w:cstheme="majorBidi"/>
          <w:sz w:val="24"/>
          <w:szCs w:val="24"/>
        </w:rPr>
        <w:t xml:space="preserve">Bigby, C., Knox, M., Beadle Brown, J., &amp; Bould, E. (2014). Identifying good group homes for people with severe intellectual disability: Qualitative indicators using a quality of life framework. </w:t>
      </w:r>
      <w:hyperlink r:id="rId22" w:history="1">
        <w:r w:rsidRPr="00E51FA9">
          <w:rPr>
            <w:rFonts w:asciiTheme="majorBidi" w:hAnsiTheme="majorBidi" w:cstheme="majorBidi"/>
            <w:i/>
            <w:iCs/>
            <w:sz w:val="24"/>
            <w:szCs w:val="24"/>
          </w:rPr>
          <w:t>Intellectual and Developmental Disability</w:t>
        </w:r>
      </w:hyperlink>
      <w:r w:rsidRPr="00E51FA9">
        <w:rPr>
          <w:rFonts w:asciiTheme="majorBidi" w:hAnsiTheme="majorBidi" w:cstheme="majorBidi"/>
          <w:i/>
          <w:iCs/>
          <w:sz w:val="24"/>
          <w:szCs w:val="24"/>
        </w:rPr>
        <w:t>, 52</w:t>
      </w:r>
      <w:r w:rsidRPr="00FD6865">
        <w:rPr>
          <w:rFonts w:asciiTheme="majorBidi" w:hAnsiTheme="majorBidi" w:cstheme="majorBidi"/>
          <w:iCs/>
          <w:sz w:val="24"/>
          <w:szCs w:val="24"/>
        </w:rPr>
        <w:t>(5),</w:t>
      </w:r>
      <w:r w:rsidRPr="00E51FA9">
        <w:rPr>
          <w:rFonts w:asciiTheme="majorBidi" w:hAnsiTheme="majorBidi" w:cstheme="majorBidi"/>
          <w:sz w:val="24"/>
          <w:szCs w:val="24"/>
        </w:rPr>
        <w:t xml:space="preserve"> 348-366. doi: 10.1352/1934-9556-.5.348 </w:t>
      </w:r>
      <w:hyperlink r:id="rId23" w:history="1">
        <w:r w:rsidRPr="00C64B1F">
          <w:rPr>
            <w:rFonts w:asciiTheme="majorBidi" w:hAnsiTheme="majorBidi" w:cstheme="majorBidi"/>
            <w:sz w:val="24"/>
            <w:szCs w:val="24"/>
          </w:rPr>
          <w:t>http://hdl.handle.net/1959.9/553198</w:t>
        </w:r>
      </w:hyperlink>
      <w:r w:rsidR="004052EC">
        <w:rPr>
          <w:rFonts w:asciiTheme="majorBidi" w:hAnsiTheme="majorBidi" w:cstheme="majorBidi"/>
          <w:sz w:val="24"/>
          <w:szCs w:val="24"/>
          <w:u w:val="single"/>
        </w:rPr>
        <w:t xml:space="preserve"> </w:t>
      </w:r>
    </w:p>
    <w:p w14:paraId="31EBD8F3" w14:textId="715AA9B4" w:rsidR="00A44B87" w:rsidRDefault="00A44B87" w:rsidP="00B10D81">
      <w:pPr>
        <w:spacing w:after="60"/>
        <w:rPr>
          <w:rFonts w:asciiTheme="majorBidi" w:hAnsiTheme="majorBidi" w:cstheme="majorBidi"/>
          <w:sz w:val="24"/>
          <w:szCs w:val="24"/>
        </w:rPr>
      </w:pPr>
    </w:p>
    <w:p w14:paraId="3E2D5EBE" w14:textId="72BDBCF6" w:rsidR="00291615" w:rsidRPr="00E51FA9" w:rsidRDefault="00291615" w:rsidP="00B10D81">
      <w:pPr>
        <w:spacing w:after="60"/>
        <w:rPr>
          <w:rFonts w:asciiTheme="majorBidi" w:hAnsiTheme="majorBidi" w:cstheme="majorBidi"/>
          <w:sz w:val="24"/>
          <w:szCs w:val="24"/>
        </w:rPr>
      </w:pPr>
      <w:r>
        <w:rPr>
          <w:rFonts w:asciiTheme="majorBidi" w:hAnsiTheme="majorBidi" w:cstheme="majorBidi"/>
          <w:sz w:val="24"/>
          <w:szCs w:val="24"/>
        </w:rPr>
        <w:t xml:space="preserve">Bigby, C. &amp; Bould, E. (2014). </w:t>
      </w:r>
      <w:r w:rsidR="00003B07" w:rsidRPr="00B36FBE">
        <w:rPr>
          <w:rFonts w:asciiTheme="majorBidi" w:hAnsiTheme="majorBidi" w:cstheme="majorBidi"/>
          <w:i/>
          <w:sz w:val="24"/>
          <w:szCs w:val="24"/>
        </w:rPr>
        <w:t>Guide to visiting and good group homes</w:t>
      </w:r>
      <w:r w:rsidR="00003B07">
        <w:rPr>
          <w:rFonts w:asciiTheme="majorBidi" w:hAnsiTheme="majorBidi" w:cstheme="majorBidi"/>
          <w:sz w:val="24"/>
          <w:szCs w:val="24"/>
        </w:rPr>
        <w:t>. Melbourne</w:t>
      </w:r>
      <w:r w:rsidR="004052EC">
        <w:rPr>
          <w:rFonts w:asciiTheme="majorBidi" w:hAnsiTheme="majorBidi" w:cstheme="majorBidi"/>
          <w:sz w:val="24"/>
          <w:szCs w:val="24"/>
        </w:rPr>
        <w:t>, Australia</w:t>
      </w:r>
      <w:r w:rsidR="00003B07">
        <w:rPr>
          <w:rFonts w:asciiTheme="majorBidi" w:hAnsiTheme="majorBidi" w:cstheme="majorBidi"/>
          <w:sz w:val="24"/>
          <w:szCs w:val="24"/>
        </w:rPr>
        <w:t xml:space="preserve">: Living with Disability Research Centre, La Trobe University. </w:t>
      </w:r>
    </w:p>
    <w:p w14:paraId="6BBB4921" w14:textId="77777777" w:rsidR="00291615" w:rsidRDefault="00291615" w:rsidP="00B10D81">
      <w:pPr>
        <w:spacing w:after="60"/>
        <w:rPr>
          <w:rFonts w:asciiTheme="majorBidi" w:hAnsiTheme="majorBidi" w:cstheme="majorBidi"/>
          <w:sz w:val="24"/>
          <w:szCs w:val="24"/>
        </w:rPr>
      </w:pPr>
    </w:p>
    <w:p w14:paraId="3FEEB84C" w14:textId="68D3F6D3" w:rsidR="00A44B87" w:rsidRPr="00E51FA9" w:rsidRDefault="00A44B87" w:rsidP="00B10D81">
      <w:pPr>
        <w:spacing w:after="60"/>
        <w:rPr>
          <w:rFonts w:asciiTheme="majorBidi" w:hAnsiTheme="majorBidi" w:cstheme="majorBidi"/>
          <w:sz w:val="24"/>
          <w:szCs w:val="24"/>
          <w:lang w:eastAsia="en-AU"/>
        </w:rPr>
      </w:pPr>
      <w:r w:rsidRPr="00E51FA9">
        <w:rPr>
          <w:rFonts w:asciiTheme="majorBidi" w:hAnsiTheme="majorBidi" w:cstheme="majorBidi"/>
          <w:sz w:val="24"/>
          <w:szCs w:val="24"/>
        </w:rPr>
        <w:t xml:space="preserve">Bigby, C., Knox, M., Beadle-Brown, J., &amp; Clement. T. (2015). ‘We just call them people’: Positive regard for people with severe intellectual disability who live in of group homes. </w:t>
      </w:r>
      <w:hyperlink r:id="rId24" w:history="1">
        <w:r w:rsidRPr="00E51FA9">
          <w:rPr>
            <w:rFonts w:asciiTheme="majorBidi" w:hAnsiTheme="majorBidi" w:cstheme="majorBidi"/>
            <w:i/>
            <w:iCs/>
            <w:sz w:val="24"/>
            <w:szCs w:val="24"/>
          </w:rPr>
          <w:t>Journal of Applied Research in Intellectual Disability</w:t>
        </w:r>
      </w:hyperlink>
      <w:r w:rsidR="0039445C">
        <w:rPr>
          <w:rFonts w:asciiTheme="majorBidi" w:hAnsiTheme="majorBidi" w:cstheme="majorBidi"/>
          <w:i/>
          <w:iCs/>
          <w:sz w:val="24"/>
          <w:szCs w:val="24"/>
        </w:rPr>
        <w:t>,</w:t>
      </w:r>
      <w:r w:rsidRPr="00E51FA9">
        <w:rPr>
          <w:rFonts w:asciiTheme="majorBidi" w:hAnsiTheme="majorBidi" w:cstheme="majorBidi"/>
          <w:i/>
          <w:iCs/>
          <w:sz w:val="24"/>
          <w:szCs w:val="24"/>
        </w:rPr>
        <w:t xml:space="preserve"> </w:t>
      </w:r>
      <w:r w:rsidRPr="00E51FA9">
        <w:rPr>
          <w:rFonts w:asciiTheme="majorBidi" w:hAnsiTheme="majorBidi" w:cstheme="majorBidi"/>
          <w:i/>
          <w:iCs/>
          <w:sz w:val="24"/>
          <w:szCs w:val="24"/>
          <w:lang w:eastAsia="en-AU"/>
        </w:rPr>
        <w:t>28,</w:t>
      </w:r>
      <w:r w:rsidRPr="00E51FA9">
        <w:rPr>
          <w:rFonts w:asciiTheme="majorBidi" w:hAnsiTheme="majorBidi" w:cstheme="majorBidi"/>
          <w:sz w:val="24"/>
          <w:szCs w:val="24"/>
          <w:lang w:eastAsia="en-AU"/>
        </w:rPr>
        <w:t xml:space="preserve"> 283–295</w:t>
      </w:r>
      <w:r w:rsidR="00017FD4">
        <w:rPr>
          <w:rFonts w:asciiTheme="majorBidi" w:hAnsiTheme="majorBidi" w:cstheme="majorBidi"/>
          <w:sz w:val="24"/>
          <w:szCs w:val="24"/>
          <w:lang w:eastAsia="en-AU"/>
        </w:rPr>
        <w:t>.</w:t>
      </w:r>
    </w:p>
    <w:p w14:paraId="4421032A" w14:textId="77777777" w:rsidR="00A44B87" w:rsidRPr="00E51FA9" w:rsidRDefault="00A44B87" w:rsidP="00B10D81">
      <w:pPr>
        <w:spacing w:after="60"/>
        <w:rPr>
          <w:rFonts w:asciiTheme="majorBidi" w:hAnsiTheme="majorBidi" w:cstheme="majorBidi"/>
          <w:sz w:val="24"/>
          <w:szCs w:val="24"/>
        </w:rPr>
      </w:pPr>
    </w:p>
    <w:p w14:paraId="41834E01" w14:textId="6B67AA0A" w:rsidR="00A44B87" w:rsidRPr="00E51FA9" w:rsidRDefault="00A44B87" w:rsidP="00B10D81">
      <w:pPr>
        <w:widowControl w:val="0"/>
        <w:autoSpaceDE w:val="0"/>
        <w:autoSpaceDN w:val="0"/>
        <w:adjustRightInd w:val="0"/>
        <w:spacing w:after="60"/>
        <w:rPr>
          <w:rFonts w:asciiTheme="majorBidi" w:eastAsiaTheme="minorHAnsi" w:hAnsiTheme="majorBidi" w:cstheme="majorBidi"/>
          <w:iCs/>
          <w:sz w:val="24"/>
          <w:szCs w:val="24"/>
          <w:lang w:eastAsia="en-AU"/>
        </w:rPr>
      </w:pPr>
      <w:r w:rsidRPr="00E51FA9">
        <w:rPr>
          <w:rFonts w:asciiTheme="majorBidi" w:eastAsiaTheme="minorHAnsi" w:hAnsiTheme="majorBidi" w:cstheme="majorBidi"/>
          <w:iCs/>
          <w:sz w:val="24"/>
          <w:szCs w:val="24"/>
        </w:rPr>
        <w:t xml:space="preserve">Bigby, C., Knox, M., Beadle-Brown, J., Clement, T., </w:t>
      </w:r>
      <w:r w:rsidR="00017FD4">
        <w:rPr>
          <w:rFonts w:asciiTheme="majorBidi" w:eastAsiaTheme="minorHAnsi" w:hAnsiTheme="majorBidi" w:cstheme="majorBidi"/>
          <w:iCs/>
          <w:sz w:val="24"/>
          <w:szCs w:val="24"/>
        </w:rPr>
        <w:t xml:space="preserve">&amp; </w:t>
      </w:r>
      <w:r w:rsidRPr="00E51FA9">
        <w:rPr>
          <w:rFonts w:asciiTheme="majorBidi" w:eastAsiaTheme="minorHAnsi" w:hAnsiTheme="majorBidi" w:cstheme="majorBidi"/>
          <w:iCs/>
          <w:sz w:val="24"/>
          <w:szCs w:val="24"/>
        </w:rPr>
        <w:t>Mansell., J</w:t>
      </w:r>
      <w:r w:rsidR="00017FD4">
        <w:rPr>
          <w:rFonts w:asciiTheme="majorBidi" w:eastAsiaTheme="minorHAnsi" w:hAnsiTheme="majorBidi" w:cstheme="majorBidi"/>
          <w:iCs/>
          <w:sz w:val="24"/>
          <w:szCs w:val="24"/>
        </w:rPr>
        <w:t>.</w:t>
      </w:r>
      <w:r w:rsidRPr="00E51FA9">
        <w:rPr>
          <w:rFonts w:asciiTheme="majorBidi" w:eastAsiaTheme="minorHAnsi" w:hAnsiTheme="majorBidi" w:cstheme="majorBidi"/>
          <w:iCs/>
          <w:sz w:val="24"/>
          <w:szCs w:val="24"/>
        </w:rPr>
        <w:t xml:space="preserve"> (2012). Uncovering dimensions of informal culture in underperforming group homes for people with severe intellectual disabilities. </w:t>
      </w:r>
      <w:hyperlink r:id="rId25" w:history="1">
        <w:r w:rsidRPr="00E51FA9">
          <w:rPr>
            <w:rFonts w:asciiTheme="majorBidi" w:eastAsiaTheme="minorHAnsi" w:hAnsiTheme="majorBidi" w:cstheme="majorBidi"/>
            <w:i/>
            <w:sz w:val="24"/>
            <w:szCs w:val="24"/>
          </w:rPr>
          <w:t>Intellectual and Developmental Disabilities</w:t>
        </w:r>
        <w:r w:rsidR="00017FD4">
          <w:rPr>
            <w:rFonts w:asciiTheme="majorBidi" w:eastAsiaTheme="minorHAnsi" w:hAnsiTheme="majorBidi" w:cstheme="majorBidi"/>
            <w:i/>
            <w:sz w:val="24"/>
            <w:szCs w:val="24"/>
          </w:rPr>
          <w:t>,</w:t>
        </w:r>
        <w:r w:rsidRPr="00E51FA9">
          <w:rPr>
            <w:rFonts w:asciiTheme="majorBidi" w:eastAsiaTheme="minorHAnsi" w:hAnsiTheme="majorBidi" w:cstheme="majorBidi"/>
            <w:i/>
            <w:sz w:val="24"/>
            <w:szCs w:val="24"/>
          </w:rPr>
          <w:t xml:space="preserve"> </w:t>
        </w:r>
      </w:hyperlink>
      <w:r w:rsidRPr="00E51FA9">
        <w:rPr>
          <w:rFonts w:asciiTheme="majorBidi" w:eastAsiaTheme="minorHAnsi" w:hAnsiTheme="majorBidi" w:cstheme="majorBidi"/>
          <w:i/>
          <w:sz w:val="24"/>
          <w:szCs w:val="24"/>
          <w:lang w:eastAsia="en-AU"/>
        </w:rPr>
        <w:t>50</w:t>
      </w:r>
      <w:r w:rsidR="00017FD4">
        <w:rPr>
          <w:rFonts w:asciiTheme="majorBidi" w:eastAsiaTheme="minorHAnsi" w:hAnsiTheme="majorBidi" w:cstheme="majorBidi"/>
          <w:iCs/>
          <w:sz w:val="24"/>
          <w:szCs w:val="24"/>
          <w:lang w:eastAsia="en-AU"/>
        </w:rPr>
        <w:t>(</w:t>
      </w:r>
      <w:r w:rsidRPr="00E51FA9">
        <w:rPr>
          <w:rFonts w:asciiTheme="majorBidi" w:eastAsiaTheme="minorHAnsi" w:hAnsiTheme="majorBidi" w:cstheme="majorBidi"/>
          <w:iCs/>
          <w:sz w:val="24"/>
          <w:szCs w:val="24"/>
          <w:lang w:eastAsia="en-AU"/>
        </w:rPr>
        <w:t>6</w:t>
      </w:r>
      <w:r w:rsidR="00017FD4">
        <w:rPr>
          <w:rFonts w:asciiTheme="majorBidi" w:eastAsiaTheme="minorHAnsi" w:hAnsiTheme="majorBidi" w:cstheme="majorBidi"/>
          <w:iCs/>
          <w:sz w:val="24"/>
          <w:szCs w:val="24"/>
          <w:lang w:eastAsia="en-AU"/>
        </w:rPr>
        <w:t>)</w:t>
      </w:r>
      <w:r w:rsidRPr="00E51FA9">
        <w:rPr>
          <w:rFonts w:asciiTheme="majorBidi" w:eastAsiaTheme="minorHAnsi" w:hAnsiTheme="majorBidi" w:cstheme="majorBidi"/>
          <w:iCs/>
          <w:sz w:val="24"/>
          <w:szCs w:val="24"/>
          <w:lang w:eastAsia="en-AU"/>
        </w:rPr>
        <w:t>, 452–467</w:t>
      </w:r>
      <w:r w:rsidR="00017FD4">
        <w:rPr>
          <w:rFonts w:asciiTheme="majorBidi" w:eastAsiaTheme="minorHAnsi" w:hAnsiTheme="majorBidi" w:cstheme="majorBidi"/>
          <w:iCs/>
          <w:sz w:val="24"/>
          <w:szCs w:val="24"/>
          <w:lang w:eastAsia="en-AU"/>
        </w:rPr>
        <w:t>.</w:t>
      </w:r>
    </w:p>
    <w:p w14:paraId="65545DD8" w14:textId="77777777" w:rsidR="00A44B87" w:rsidRPr="00E51FA9" w:rsidRDefault="00A44B87" w:rsidP="00B10D81">
      <w:pPr>
        <w:widowControl w:val="0"/>
        <w:autoSpaceDE w:val="0"/>
        <w:autoSpaceDN w:val="0"/>
        <w:adjustRightInd w:val="0"/>
        <w:spacing w:after="60"/>
        <w:rPr>
          <w:rFonts w:asciiTheme="majorBidi" w:eastAsiaTheme="minorHAnsi" w:hAnsiTheme="majorBidi" w:cstheme="majorBidi"/>
          <w:iCs/>
          <w:sz w:val="24"/>
          <w:szCs w:val="24"/>
          <w:lang w:eastAsia="en-AU"/>
        </w:rPr>
      </w:pPr>
    </w:p>
    <w:p w14:paraId="70A10D5E"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Blum, R. W., Kelly, A., &amp; Ireland, M. (2001). Health-risk behaviors and protective factors among adolescents with mobility impairments and learning and emotional disabilities</w:t>
      </w:r>
      <w:r w:rsidRPr="00E51FA9">
        <w:rPr>
          <w:rFonts w:asciiTheme="majorBidi" w:hAnsiTheme="majorBidi" w:cstheme="majorBidi"/>
          <w:i/>
          <w:iCs/>
          <w:sz w:val="24"/>
          <w:szCs w:val="24"/>
        </w:rPr>
        <w:t>. Journal of Adolescent Health, 28</w:t>
      </w:r>
      <w:r w:rsidRPr="00FD6865">
        <w:rPr>
          <w:rFonts w:asciiTheme="majorBidi" w:hAnsiTheme="majorBidi" w:cstheme="majorBidi"/>
          <w:iCs/>
          <w:sz w:val="24"/>
          <w:szCs w:val="24"/>
        </w:rPr>
        <w:t>(6),</w:t>
      </w:r>
      <w:r w:rsidRPr="00E51FA9">
        <w:rPr>
          <w:rFonts w:asciiTheme="majorBidi" w:hAnsiTheme="majorBidi" w:cstheme="majorBidi"/>
          <w:sz w:val="24"/>
          <w:szCs w:val="24"/>
        </w:rPr>
        <w:t xml:space="preserve"> 481-490.</w:t>
      </w:r>
    </w:p>
    <w:p w14:paraId="6D8AD08C" w14:textId="77777777" w:rsidR="00A44B87" w:rsidRPr="00E51FA9" w:rsidRDefault="00A44B87" w:rsidP="00B10D81">
      <w:pPr>
        <w:spacing w:after="60"/>
        <w:rPr>
          <w:rFonts w:asciiTheme="majorBidi" w:hAnsiTheme="majorBidi" w:cstheme="majorBidi"/>
          <w:iCs/>
          <w:sz w:val="24"/>
          <w:szCs w:val="24"/>
        </w:rPr>
      </w:pPr>
    </w:p>
    <w:p w14:paraId="016F7F61" w14:textId="0FA853CC"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lastRenderedPageBreak/>
        <w:t xml:space="preserve">Bollman, J. R. &amp; Davis, P. K. (2009). Teaching women with intellectual disabilities to identify and report inappropriate staff-to-resident interactions. </w:t>
      </w:r>
      <w:r w:rsidRPr="00E51FA9">
        <w:rPr>
          <w:rFonts w:asciiTheme="majorBidi" w:hAnsiTheme="majorBidi" w:cstheme="majorBidi"/>
          <w:i/>
          <w:sz w:val="24"/>
          <w:szCs w:val="24"/>
        </w:rPr>
        <w:t>Journal of Applied Behavior Analysis, 42</w:t>
      </w:r>
      <w:r w:rsidRPr="00E51FA9">
        <w:rPr>
          <w:rFonts w:asciiTheme="majorBidi" w:hAnsiTheme="majorBidi" w:cstheme="majorBidi"/>
          <w:iCs/>
          <w:sz w:val="24"/>
          <w:szCs w:val="24"/>
        </w:rPr>
        <w:t xml:space="preserve">, 813–817. </w:t>
      </w:r>
      <w:r w:rsidR="00A52870">
        <w:rPr>
          <w:rFonts w:asciiTheme="majorBidi" w:hAnsiTheme="majorBidi" w:cstheme="majorBidi"/>
          <w:iCs/>
          <w:sz w:val="24"/>
          <w:szCs w:val="24"/>
        </w:rPr>
        <w:t>D</w:t>
      </w:r>
      <w:r w:rsidRPr="00E51FA9">
        <w:rPr>
          <w:rFonts w:asciiTheme="majorBidi" w:hAnsiTheme="majorBidi" w:cstheme="majorBidi"/>
          <w:iCs/>
          <w:sz w:val="24"/>
          <w:szCs w:val="24"/>
        </w:rPr>
        <w:t>oi:</w:t>
      </w:r>
      <w:r w:rsidR="00A52870">
        <w:rPr>
          <w:rFonts w:asciiTheme="majorBidi" w:hAnsiTheme="majorBidi" w:cstheme="majorBidi"/>
          <w:iCs/>
          <w:sz w:val="24"/>
          <w:szCs w:val="24"/>
        </w:rPr>
        <w:t xml:space="preserve"> </w:t>
      </w:r>
      <w:r w:rsidRPr="00E51FA9">
        <w:rPr>
          <w:rFonts w:asciiTheme="majorBidi" w:hAnsiTheme="majorBidi" w:cstheme="majorBidi"/>
          <w:iCs/>
          <w:sz w:val="24"/>
          <w:szCs w:val="24"/>
        </w:rPr>
        <w:t>10.1901/jaba.2009.42-813</w:t>
      </w:r>
    </w:p>
    <w:p w14:paraId="2D764ABC" w14:textId="77777777" w:rsidR="00A44B87" w:rsidRPr="00E51FA9" w:rsidRDefault="00A44B87" w:rsidP="00B10D81">
      <w:pPr>
        <w:tabs>
          <w:tab w:val="left" w:pos="3930"/>
        </w:tabs>
        <w:spacing w:after="60"/>
        <w:rPr>
          <w:rFonts w:asciiTheme="majorBidi" w:hAnsiTheme="majorBidi" w:cstheme="majorBidi"/>
          <w:sz w:val="24"/>
          <w:szCs w:val="24"/>
        </w:rPr>
      </w:pPr>
    </w:p>
    <w:p w14:paraId="2E1DE55E" w14:textId="02F32541" w:rsidR="00A44B87" w:rsidRPr="00E51FA9" w:rsidRDefault="00A44B87" w:rsidP="00B10D81">
      <w:pPr>
        <w:tabs>
          <w:tab w:val="left" w:pos="3930"/>
        </w:tabs>
        <w:spacing w:after="60"/>
        <w:rPr>
          <w:rFonts w:asciiTheme="majorBidi" w:hAnsiTheme="majorBidi" w:cstheme="majorBidi"/>
          <w:sz w:val="24"/>
          <w:szCs w:val="24"/>
          <w:u w:val="single"/>
        </w:rPr>
      </w:pPr>
      <w:r w:rsidRPr="00E51FA9">
        <w:rPr>
          <w:rFonts w:asciiTheme="majorBidi" w:hAnsiTheme="majorBidi" w:cstheme="majorBidi"/>
          <w:sz w:val="24"/>
          <w:szCs w:val="24"/>
        </w:rPr>
        <w:t>Bould, E., Beadle-Brown, J., Bigby, C.,</w:t>
      </w:r>
      <w:r w:rsidR="00017FD4">
        <w:rPr>
          <w:rFonts w:asciiTheme="majorBidi" w:hAnsiTheme="majorBidi" w:cstheme="majorBidi"/>
          <w:sz w:val="24"/>
          <w:szCs w:val="24"/>
        </w:rPr>
        <w:t xml:space="preserve"> &amp;</w:t>
      </w:r>
      <w:r w:rsidRPr="00E51FA9">
        <w:rPr>
          <w:rFonts w:asciiTheme="majorBidi" w:hAnsiTheme="majorBidi" w:cstheme="majorBidi"/>
          <w:sz w:val="24"/>
          <w:szCs w:val="24"/>
        </w:rPr>
        <w:t xml:space="preserve"> Iacono, T</w:t>
      </w:r>
      <w:r w:rsidR="00017FD4">
        <w:rPr>
          <w:rFonts w:asciiTheme="majorBidi" w:hAnsiTheme="majorBidi" w:cstheme="majorBidi"/>
          <w:sz w:val="24"/>
          <w:szCs w:val="24"/>
        </w:rPr>
        <w:t>.</w:t>
      </w:r>
      <w:r w:rsidRPr="00E51FA9">
        <w:rPr>
          <w:rFonts w:asciiTheme="majorBidi" w:hAnsiTheme="majorBidi" w:cstheme="majorBidi"/>
          <w:sz w:val="24"/>
          <w:szCs w:val="24"/>
        </w:rPr>
        <w:t xml:space="preserve"> (2016)</w:t>
      </w:r>
      <w:r w:rsidR="00017FD4">
        <w:rPr>
          <w:rFonts w:asciiTheme="majorBidi" w:hAnsiTheme="majorBidi" w:cstheme="majorBidi"/>
          <w:sz w:val="24"/>
          <w:szCs w:val="24"/>
        </w:rPr>
        <w:t>.</w:t>
      </w:r>
      <w:r w:rsidRPr="00E51FA9">
        <w:rPr>
          <w:rFonts w:asciiTheme="majorBidi" w:hAnsiTheme="majorBidi" w:cstheme="majorBidi"/>
          <w:sz w:val="24"/>
          <w:szCs w:val="24"/>
        </w:rPr>
        <w:t xml:space="preserve"> The role of practice leadership in active support: impact of practice leaders’ presence in services. </w:t>
      </w:r>
      <w:r w:rsidRPr="00E51FA9">
        <w:rPr>
          <w:rFonts w:asciiTheme="majorBidi" w:hAnsiTheme="majorBidi" w:cstheme="majorBidi"/>
          <w:i/>
          <w:sz w:val="24"/>
          <w:szCs w:val="24"/>
        </w:rPr>
        <w:t>International Journal of Developmental Disabilities</w:t>
      </w:r>
      <w:r w:rsidR="00017FD4">
        <w:rPr>
          <w:rFonts w:asciiTheme="majorBidi" w:hAnsiTheme="majorBidi" w:cstheme="majorBidi"/>
          <w:i/>
          <w:sz w:val="24"/>
          <w:szCs w:val="24"/>
        </w:rPr>
        <w:t>.</w:t>
      </w:r>
      <w:r w:rsidRPr="00E51FA9">
        <w:rPr>
          <w:rFonts w:asciiTheme="majorBidi" w:hAnsiTheme="majorBidi" w:cstheme="majorBidi"/>
          <w:i/>
          <w:sz w:val="24"/>
          <w:szCs w:val="24"/>
        </w:rPr>
        <w:t xml:space="preserve"> </w:t>
      </w:r>
      <w:r w:rsidR="00017FD4" w:rsidRPr="000F7693">
        <w:rPr>
          <w:rFonts w:asciiTheme="majorBidi" w:hAnsiTheme="majorBidi" w:cstheme="majorBidi"/>
          <w:sz w:val="24"/>
          <w:szCs w:val="24"/>
        </w:rPr>
        <w:t>Doi: 10.1080/20473869.2016.1229524</w:t>
      </w:r>
    </w:p>
    <w:p w14:paraId="4BF508AC" w14:textId="77777777" w:rsidR="00A44B87" w:rsidRPr="00E51FA9" w:rsidRDefault="00A44B87" w:rsidP="00B10D81">
      <w:pPr>
        <w:tabs>
          <w:tab w:val="left" w:pos="3930"/>
        </w:tabs>
        <w:spacing w:after="60"/>
        <w:rPr>
          <w:rFonts w:asciiTheme="majorBidi" w:hAnsiTheme="majorBidi" w:cstheme="majorBidi"/>
          <w:sz w:val="24"/>
          <w:szCs w:val="24"/>
          <w:u w:val="single"/>
        </w:rPr>
      </w:pPr>
    </w:p>
    <w:p w14:paraId="05A320E9" w14:textId="1603E55B" w:rsidR="00C73B6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iCs/>
          <w:sz w:val="24"/>
          <w:szCs w:val="24"/>
        </w:rPr>
        <w:t xml:space="preserve">Bowman, R. A., Scotti, J. R., &amp; Morris, T. L. (2010). Sexual abuse prevention: A training program for developmental disabilities service providers. </w:t>
      </w:r>
      <w:r w:rsidRPr="00E51FA9">
        <w:rPr>
          <w:rFonts w:asciiTheme="majorBidi" w:hAnsiTheme="majorBidi" w:cstheme="majorBidi"/>
          <w:i/>
          <w:sz w:val="24"/>
          <w:szCs w:val="24"/>
        </w:rPr>
        <w:t>Journal of Child Sexual Abuse, 19</w:t>
      </w:r>
      <w:r w:rsidRPr="00FD6865">
        <w:rPr>
          <w:rFonts w:asciiTheme="majorBidi" w:hAnsiTheme="majorBidi" w:cstheme="majorBidi"/>
          <w:sz w:val="24"/>
          <w:szCs w:val="24"/>
        </w:rPr>
        <w:t>(2),</w:t>
      </w:r>
      <w:r w:rsidRPr="00E51FA9">
        <w:rPr>
          <w:rFonts w:asciiTheme="majorBidi" w:hAnsiTheme="majorBidi" w:cstheme="majorBidi"/>
          <w:iCs/>
          <w:sz w:val="24"/>
          <w:szCs w:val="24"/>
        </w:rPr>
        <w:t xml:space="preserve"> 119-127.</w:t>
      </w:r>
    </w:p>
    <w:p w14:paraId="7BD5D410" w14:textId="77777777" w:rsidR="00A44B87" w:rsidRPr="00E51FA9" w:rsidRDefault="00A44B87" w:rsidP="00B10D81">
      <w:pPr>
        <w:spacing w:after="60"/>
        <w:rPr>
          <w:rFonts w:asciiTheme="majorBidi" w:hAnsiTheme="majorBidi" w:cstheme="majorBidi"/>
          <w:sz w:val="24"/>
          <w:szCs w:val="24"/>
        </w:rPr>
      </w:pPr>
    </w:p>
    <w:p w14:paraId="55355423" w14:textId="44E8E1CA"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Brown, H., Stein, J.</w:t>
      </w:r>
      <w:r w:rsidR="008E1786">
        <w:rPr>
          <w:rFonts w:asciiTheme="majorBidi" w:hAnsiTheme="majorBidi" w:cstheme="majorBidi"/>
          <w:sz w:val="24"/>
          <w:szCs w:val="24"/>
        </w:rPr>
        <w:t>,</w:t>
      </w:r>
      <w:r w:rsidRPr="00E51FA9">
        <w:rPr>
          <w:rFonts w:asciiTheme="majorBidi" w:hAnsiTheme="majorBidi" w:cstheme="majorBidi"/>
          <w:sz w:val="24"/>
          <w:szCs w:val="24"/>
        </w:rPr>
        <w:t xml:space="preserve"> </w:t>
      </w:r>
      <w:r w:rsidR="008E1786">
        <w:rPr>
          <w:rFonts w:asciiTheme="majorBidi" w:hAnsiTheme="majorBidi" w:cstheme="majorBidi"/>
          <w:sz w:val="24"/>
          <w:szCs w:val="24"/>
        </w:rPr>
        <w:t>&amp;</w:t>
      </w:r>
      <w:r w:rsidR="008E1786" w:rsidRPr="00E51FA9">
        <w:rPr>
          <w:rFonts w:asciiTheme="majorBidi" w:hAnsiTheme="majorBidi" w:cstheme="majorBidi"/>
          <w:sz w:val="24"/>
          <w:szCs w:val="24"/>
        </w:rPr>
        <w:t xml:space="preserve"> </w:t>
      </w:r>
      <w:r w:rsidRPr="00E51FA9">
        <w:rPr>
          <w:rFonts w:asciiTheme="majorBidi" w:hAnsiTheme="majorBidi" w:cstheme="majorBidi"/>
          <w:sz w:val="24"/>
          <w:szCs w:val="24"/>
        </w:rPr>
        <w:t>Turk, V. (1995)</w:t>
      </w:r>
      <w:r w:rsidR="00C405B5">
        <w:rPr>
          <w:rFonts w:asciiTheme="majorBidi" w:hAnsiTheme="majorBidi" w:cstheme="majorBidi"/>
          <w:sz w:val="24"/>
          <w:szCs w:val="24"/>
        </w:rPr>
        <w:t>.</w:t>
      </w:r>
      <w:r w:rsidRPr="00E51FA9">
        <w:rPr>
          <w:rFonts w:asciiTheme="majorBidi" w:hAnsiTheme="majorBidi" w:cstheme="majorBidi"/>
          <w:sz w:val="24"/>
          <w:szCs w:val="24"/>
        </w:rPr>
        <w:t xml:space="preserve"> The sexual abuse of adults with learning disabilities: A second incidence survey. </w:t>
      </w:r>
      <w:r w:rsidRPr="00E51FA9">
        <w:rPr>
          <w:rFonts w:asciiTheme="majorBidi" w:hAnsiTheme="majorBidi" w:cstheme="majorBidi"/>
          <w:i/>
          <w:iCs/>
          <w:sz w:val="24"/>
          <w:szCs w:val="24"/>
        </w:rPr>
        <w:t>Mental Handicap Research</w:t>
      </w:r>
      <w:r w:rsidR="00C405B5">
        <w:rPr>
          <w:rFonts w:asciiTheme="majorBidi" w:hAnsiTheme="majorBidi" w:cstheme="majorBidi"/>
          <w:i/>
          <w:iCs/>
          <w:sz w:val="24"/>
          <w:szCs w:val="24"/>
        </w:rPr>
        <w:t>,</w:t>
      </w:r>
      <w:r w:rsidRPr="00E51FA9">
        <w:rPr>
          <w:rFonts w:asciiTheme="majorBidi" w:hAnsiTheme="majorBidi" w:cstheme="majorBidi"/>
          <w:i/>
          <w:iCs/>
          <w:sz w:val="24"/>
          <w:szCs w:val="24"/>
        </w:rPr>
        <w:t xml:space="preserve"> 8</w:t>
      </w:r>
      <w:r w:rsidRPr="00E51FA9">
        <w:rPr>
          <w:rFonts w:asciiTheme="majorBidi" w:hAnsiTheme="majorBidi" w:cstheme="majorBidi"/>
          <w:sz w:val="24"/>
          <w:szCs w:val="24"/>
        </w:rPr>
        <w:t>, 3–23.</w:t>
      </w:r>
    </w:p>
    <w:p w14:paraId="79E992F6" w14:textId="77777777" w:rsidR="00A44B87" w:rsidRPr="00E51FA9" w:rsidRDefault="00A44B87" w:rsidP="00B10D81">
      <w:pPr>
        <w:spacing w:after="60"/>
        <w:rPr>
          <w:rFonts w:asciiTheme="majorBidi" w:hAnsiTheme="majorBidi" w:cstheme="majorBidi"/>
          <w:sz w:val="24"/>
          <w:szCs w:val="24"/>
        </w:rPr>
      </w:pPr>
    </w:p>
    <w:p w14:paraId="10B7D5D1" w14:textId="6E75A342" w:rsidR="00A44B87" w:rsidRPr="00460210"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Butchart, A. </w:t>
      </w:r>
      <w:r w:rsidR="00C405B5">
        <w:rPr>
          <w:rFonts w:asciiTheme="majorBidi" w:hAnsiTheme="majorBidi" w:cstheme="majorBidi"/>
          <w:sz w:val="24"/>
          <w:szCs w:val="24"/>
        </w:rPr>
        <w:t>&amp;</w:t>
      </w:r>
      <w:r w:rsidRPr="00E51FA9">
        <w:rPr>
          <w:rFonts w:asciiTheme="majorBidi" w:hAnsiTheme="majorBidi" w:cstheme="majorBidi"/>
          <w:sz w:val="24"/>
          <w:szCs w:val="24"/>
        </w:rPr>
        <w:t xml:space="preserve"> Mikton, C. (2014)</w:t>
      </w:r>
      <w:r w:rsidR="00C405B5">
        <w:rPr>
          <w:rFonts w:asciiTheme="majorBidi" w:hAnsiTheme="majorBidi" w:cstheme="majorBidi"/>
          <w:sz w:val="24"/>
          <w:szCs w:val="24"/>
        </w:rPr>
        <w:t>.</w:t>
      </w:r>
      <w:r w:rsidRPr="00E51FA9">
        <w:rPr>
          <w:rFonts w:asciiTheme="majorBidi" w:hAnsiTheme="majorBidi" w:cstheme="majorBidi"/>
          <w:sz w:val="24"/>
          <w:szCs w:val="24"/>
        </w:rPr>
        <w:t xml:space="preserve"> </w:t>
      </w:r>
      <w:r w:rsidRPr="00FD6865">
        <w:rPr>
          <w:rFonts w:asciiTheme="majorBidi" w:hAnsiTheme="majorBidi" w:cstheme="majorBidi"/>
          <w:i/>
          <w:sz w:val="24"/>
          <w:szCs w:val="24"/>
        </w:rPr>
        <w:t>Global status report on violence prevention, 2014. Technical Report</w:t>
      </w:r>
      <w:r w:rsidRPr="00E51FA9">
        <w:rPr>
          <w:rFonts w:asciiTheme="majorBidi" w:hAnsiTheme="majorBidi" w:cstheme="majorBidi"/>
          <w:sz w:val="24"/>
          <w:szCs w:val="24"/>
        </w:rPr>
        <w:t xml:space="preserve">. </w:t>
      </w:r>
      <w:r w:rsidR="00861FCE">
        <w:rPr>
          <w:rFonts w:asciiTheme="majorBidi" w:hAnsiTheme="majorBidi" w:cstheme="majorBidi"/>
          <w:sz w:val="24"/>
          <w:szCs w:val="24"/>
        </w:rPr>
        <w:t>Retrieved</w:t>
      </w:r>
      <w:r w:rsidR="00C405B5" w:rsidRPr="00E51FA9">
        <w:rPr>
          <w:rFonts w:asciiTheme="majorBidi" w:hAnsiTheme="majorBidi" w:cstheme="majorBidi"/>
          <w:sz w:val="24"/>
          <w:szCs w:val="24"/>
        </w:rPr>
        <w:t xml:space="preserve"> </w:t>
      </w:r>
      <w:r w:rsidRPr="00E51FA9">
        <w:rPr>
          <w:rFonts w:asciiTheme="majorBidi" w:hAnsiTheme="majorBidi" w:cstheme="majorBidi"/>
          <w:sz w:val="24"/>
          <w:szCs w:val="24"/>
        </w:rPr>
        <w:t xml:space="preserve">from: </w:t>
      </w:r>
      <w:hyperlink r:id="rId26" w:history="1">
        <w:r w:rsidR="000F7693" w:rsidRPr="00C64B1F">
          <w:rPr>
            <w:rStyle w:val="Hyperlink"/>
            <w:rFonts w:asciiTheme="majorBidi" w:hAnsiTheme="majorBidi" w:cstheme="majorBidi"/>
            <w:color w:val="auto"/>
            <w:sz w:val="24"/>
            <w:szCs w:val="24"/>
            <w:u w:val="none"/>
          </w:rPr>
          <w:t>http://eprints.uwe.ac.uk/30034</w:t>
        </w:r>
      </w:hyperlink>
      <w:r w:rsidR="000F7693" w:rsidRPr="00460210">
        <w:rPr>
          <w:rFonts w:asciiTheme="majorBidi" w:hAnsiTheme="majorBidi" w:cstheme="majorBidi"/>
          <w:sz w:val="24"/>
          <w:szCs w:val="24"/>
        </w:rPr>
        <w:t xml:space="preserve"> </w:t>
      </w:r>
    </w:p>
    <w:p w14:paraId="77925C82" w14:textId="77777777" w:rsidR="00A44B87" w:rsidRPr="00460210" w:rsidRDefault="00A44B87" w:rsidP="00B10D81">
      <w:pPr>
        <w:spacing w:after="60"/>
        <w:rPr>
          <w:rFonts w:asciiTheme="majorBidi" w:hAnsiTheme="majorBidi" w:cstheme="majorBidi"/>
          <w:sz w:val="24"/>
          <w:szCs w:val="24"/>
        </w:rPr>
      </w:pPr>
    </w:p>
    <w:p w14:paraId="44F3E029"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Cambridge, P. (1998). The physical abuse of people with learning disabilities and challenging behaviours: lessons for commissioners and providers</w:t>
      </w:r>
      <w:r w:rsidRPr="00E51FA9">
        <w:rPr>
          <w:rFonts w:asciiTheme="majorBidi" w:hAnsiTheme="majorBidi" w:cstheme="majorBidi"/>
          <w:i/>
          <w:iCs/>
          <w:sz w:val="24"/>
          <w:szCs w:val="24"/>
        </w:rPr>
        <w:t>. Tizard Learning Disability Review, 3(1),</w:t>
      </w:r>
      <w:r w:rsidRPr="00E51FA9">
        <w:rPr>
          <w:rFonts w:asciiTheme="majorBidi" w:hAnsiTheme="majorBidi" w:cstheme="majorBidi"/>
          <w:sz w:val="24"/>
          <w:szCs w:val="24"/>
        </w:rPr>
        <w:t xml:space="preserve"> 18-26.</w:t>
      </w:r>
    </w:p>
    <w:p w14:paraId="5AEB6553" w14:textId="77777777" w:rsidR="00A44B87" w:rsidRPr="00E51FA9" w:rsidRDefault="00A44B87" w:rsidP="00B10D81">
      <w:pPr>
        <w:spacing w:after="60"/>
        <w:rPr>
          <w:rFonts w:asciiTheme="majorBidi" w:hAnsiTheme="majorBidi" w:cstheme="majorBidi"/>
          <w:sz w:val="24"/>
          <w:szCs w:val="24"/>
        </w:rPr>
      </w:pPr>
    </w:p>
    <w:p w14:paraId="400B20DD" w14:textId="7E492720"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Cambridge, P., Beadle</w:t>
      </w:r>
      <w:r w:rsidRPr="00E51FA9">
        <w:rPr>
          <w:rFonts w:ascii="Calibri" w:eastAsia="Calibri" w:hAnsi="Calibri" w:cs="Calibri"/>
          <w:sz w:val="24"/>
          <w:szCs w:val="24"/>
        </w:rPr>
        <w:t>‐</w:t>
      </w:r>
      <w:r w:rsidRPr="00E51FA9">
        <w:rPr>
          <w:rFonts w:asciiTheme="majorBidi" w:hAnsiTheme="majorBidi" w:cstheme="majorBidi"/>
          <w:sz w:val="24"/>
          <w:szCs w:val="24"/>
        </w:rPr>
        <w:t xml:space="preserve">Brown, J., Milne, A., Mansell, J., &amp; Whelton, B. (2011). Patterns of risk in adult protection referrals for sexual abuse and people with intellectual disability. </w:t>
      </w:r>
      <w:r w:rsidRPr="00E51FA9">
        <w:rPr>
          <w:rFonts w:asciiTheme="majorBidi" w:hAnsiTheme="majorBidi" w:cstheme="majorBidi"/>
          <w:i/>
          <w:iCs/>
          <w:sz w:val="24"/>
          <w:szCs w:val="24"/>
        </w:rPr>
        <w:t>Journal of Applied Research in Intellectual Disabilities, 24</w:t>
      </w:r>
      <w:r w:rsidRPr="00FD6865">
        <w:rPr>
          <w:rFonts w:asciiTheme="majorBidi" w:hAnsiTheme="majorBidi" w:cstheme="majorBidi"/>
          <w:iCs/>
          <w:sz w:val="24"/>
          <w:szCs w:val="24"/>
        </w:rPr>
        <w:t>(2),</w:t>
      </w:r>
      <w:r w:rsidRPr="00E51FA9">
        <w:rPr>
          <w:rFonts w:asciiTheme="majorBidi" w:hAnsiTheme="majorBidi" w:cstheme="majorBidi"/>
          <w:sz w:val="24"/>
          <w:szCs w:val="24"/>
        </w:rPr>
        <w:t xml:space="preserve"> 118-132.</w:t>
      </w:r>
    </w:p>
    <w:p w14:paraId="51AE63C7" w14:textId="4B9A4DB4" w:rsidR="00F80FF7" w:rsidRDefault="00F80FF7" w:rsidP="00B10D81">
      <w:pPr>
        <w:spacing w:after="60"/>
        <w:rPr>
          <w:rFonts w:asciiTheme="majorBidi" w:hAnsiTheme="majorBidi" w:cstheme="majorBidi"/>
          <w:sz w:val="24"/>
          <w:szCs w:val="24"/>
        </w:rPr>
      </w:pPr>
    </w:p>
    <w:p w14:paraId="2A6452A8" w14:textId="5C20991C" w:rsidR="00A44B87" w:rsidRPr="00E51FA9" w:rsidRDefault="006A1618" w:rsidP="00B10D81">
      <w:pPr>
        <w:spacing w:after="60"/>
        <w:rPr>
          <w:rFonts w:asciiTheme="majorBidi" w:hAnsiTheme="majorBidi" w:cstheme="majorBidi"/>
          <w:sz w:val="24"/>
          <w:szCs w:val="24"/>
        </w:rPr>
      </w:pPr>
      <w:r w:rsidRPr="006A1618">
        <w:rPr>
          <w:rFonts w:asciiTheme="majorBidi" w:hAnsiTheme="majorBidi" w:cstheme="majorBidi"/>
          <w:sz w:val="24"/>
          <w:szCs w:val="24"/>
        </w:rPr>
        <w:t xml:space="preserve">Cashmore, J.; Dolby, R.; Brennan, D. </w:t>
      </w:r>
      <w:r>
        <w:rPr>
          <w:rFonts w:asciiTheme="majorBidi" w:hAnsiTheme="majorBidi" w:cstheme="majorBidi"/>
          <w:sz w:val="24"/>
          <w:szCs w:val="24"/>
        </w:rPr>
        <w:t>&amp;</w:t>
      </w:r>
      <w:r w:rsidRPr="006A1618">
        <w:rPr>
          <w:rFonts w:asciiTheme="majorBidi" w:hAnsiTheme="majorBidi" w:cstheme="majorBidi"/>
          <w:sz w:val="24"/>
          <w:szCs w:val="24"/>
        </w:rPr>
        <w:t xml:space="preserve"> the NSW Child Protection Council’s Systems Abuse Committee</w:t>
      </w:r>
      <w:r>
        <w:rPr>
          <w:rFonts w:asciiTheme="majorBidi" w:hAnsiTheme="majorBidi" w:cstheme="majorBidi"/>
          <w:sz w:val="24"/>
          <w:szCs w:val="24"/>
        </w:rPr>
        <w:t>.</w:t>
      </w:r>
      <w:r w:rsidRPr="006A1618">
        <w:rPr>
          <w:rFonts w:asciiTheme="majorBidi" w:hAnsiTheme="majorBidi" w:cstheme="majorBidi"/>
          <w:sz w:val="24"/>
          <w:szCs w:val="24"/>
        </w:rPr>
        <w:t xml:space="preserve"> (1994)</w:t>
      </w:r>
      <w:r>
        <w:rPr>
          <w:rFonts w:asciiTheme="majorBidi" w:hAnsiTheme="majorBidi" w:cstheme="majorBidi"/>
          <w:sz w:val="24"/>
          <w:szCs w:val="24"/>
        </w:rPr>
        <w:t>.</w:t>
      </w:r>
      <w:r w:rsidRPr="006A1618">
        <w:rPr>
          <w:rFonts w:asciiTheme="majorBidi" w:hAnsiTheme="majorBidi" w:cstheme="majorBidi"/>
          <w:sz w:val="24"/>
          <w:szCs w:val="24"/>
        </w:rPr>
        <w:t xml:space="preserve"> </w:t>
      </w:r>
      <w:r w:rsidRPr="00EB132A">
        <w:rPr>
          <w:rFonts w:asciiTheme="majorBidi" w:hAnsiTheme="majorBidi" w:cstheme="majorBidi"/>
          <w:i/>
          <w:sz w:val="24"/>
          <w:szCs w:val="24"/>
        </w:rPr>
        <w:t>Systems Abuse: Problems and Solutions.</w:t>
      </w:r>
      <w:r w:rsidRPr="006A1618">
        <w:rPr>
          <w:rFonts w:asciiTheme="majorBidi" w:hAnsiTheme="majorBidi" w:cstheme="majorBidi"/>
          <w:sz w:val="24"/>
          <w:szCs w:val="24"/>
        </w:rPr>
        <w:t xml:space="preserve"> </w:t>
      </w:r>
      <w:r>
        <w:rPr>
          <w:rFonts w:asciiTheme="majorBidi" w:hAnsiTheme="majorBidi" w:cstheme="majorBidi"/>
          <w:sz w:val="24"/>
          <w:szCs w:val="24"/>
        </w:rPr>
        <w:t>Sydney</w:t>
      </w:r>
      <w:r w:rsidR="000F7693">
        <w:rPr>
          <w:rFonts w:asciiTheme="majorBidi" w:hAnsiTheme="majorBidi" w:cstheme="majorBidi"/>
          <w:sz w:val="24"/>
          <w:szCs w:val="24"/>
        </w:rPr>
        <w:t>, Australia</w:t>
      </w:r>
      <w:r>
        <w:rPr>
          <w:rFonts w:asciiTheme="majorBidi" w:hAnsiTheme="majorBidi" w:cstheme="majorBidi"/>
          <w:sz w:val="24"/>
          <w:szCs w:val="24"/>
        </w:rPr>
        <w:t>:</w:t>
      </w:r>
      <w:r w:rsidRPr="006A1618">
        <w:rPr>
          <w:rFonts w:asciiTheme="majorBidi" w:hAnsiTheme="majorBidi" w:cstheme="majorBidi"/>
          <w:sz w:val="24"/>
          <w:szCs w:val="24"/>
        </w:rPr>
        <w:t xml:space="preserve"> NSW Child Protection Council</w:t>
      </w:r>
      <w:r>
        <w:rPr>
          <w:rFonts w:asciiTheme="majorBidi" w:hAnsiTheme="majorBidi" w:cstheme="majorBidi"/>
          <w:sz w:val="24"/>
          <w:szCs w:val="24"/>
        </w:rPr>
        <w:t>.</w:t>
      </w:r>
    </w:p>
    <w:p w14:paraId="576EE1B2" w14:textId="77777777" w:rsidR="005B3587" w:rsidRDefault="005B3587" w:rsidP="00B10D81">
      <w:pPr>
        <w:spacing w:after="60"/>
        <w:rPr>
          <w:rFonts w:asciiTheme="majorBidi" w:hAnsiTheme="majorBidi" w:cstheme="majorBidi"/>
          <w:sz w:val="24"/>
          <w:szCs w:val="24"/>
        </w:rPr>
      </w:pPr>
    </w:p>
    <w:p w14:paraId="65C3B8D1" w14:textId="1E1000DC"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Casteel C., Martin S. L., Smith J. B., Gurka K. K.,</w:t>
      </w:r>
      <w:r w:rsidR="00F80FF7">
        <w:rPr>
          <w:rFonts w:asciiTheme="majorBidi" w:hAnsiTheme="majorBidi" w:cstheme="majorBidi"/>
          <w:sz w:val="24"/>
          <w:szCs w:val="24"/>
        </w:rPr>
        <w:t xml:space="preserve"> &amp;</w:t>
      </w:r>
      <w:r w:rsidRPr="00E51FA9">
        <w:rPr>
          <w:rFonts w:asciiTheme="majorBidi" w:hAnsiTheme="majorBidi" w:cstheme="majorBidi"/>
          <w:sz w:val="24"/>
          <w:szCs w:val="24"/>
        </w:rPr>
        <w:t xml:space="preserve"> Kupper L. L. (2008). National study of physical and sexual assault among women with disabilities. </w:t>
      </w:r>
      <w:r w:rsidRPr="00E51FA9">
        <w:rPr>
          <w:rFonts w:asciiTheme="majorBidi" w:hAnsiTheme="majorBidi" w:cstheme="majorBidi"/>
          <w:i/>
          <w:iCs/>
          <w:sz w:val="24"/>
          <w:szCs w:val="24"/>
        </w:rPr>
        <w:t>Injury Prevention, 14</w:t>
      </w:r>
      <w:r w:rsidRPr="00E51FA9">
        <w:rPr>
          <w:rFonts w:asciiTheme="majorBidi" w:hAnsiTheme="majorBidi" w:cstheme="majorBidi"/>
          <w:sz w:val="24"/>
          <w:szCs w:val="24"/>
        </w:rPr>
        <w:t>, 87–90</w:t>
      </w:r>
      <w:r w:rsidR="00F80FF7">
        <w:rPr>
          <w:rFonts w:asciiTheme="majorBidi" w:hAnsiTheme="majorBidi" w:cstheme="majorBidi"/>
          <w:sz w:val="24"/>
          <w:szCs w:val="24"/>
        </w:rPr>
        <w:t>.</w:t>
      </w:r>
    </w:p>
    <w:p w14:paraId="20961633" w14:textId="69C068F3" w:rsidR="00A44B87" w:rsidRDefault="00A44B87" w:rsidP="00B10D81">
      <w:pPr>
        <w:spacing w:after="60"/>
        <w:rPr>
          <w:rFonts w:asciiTheme="majorBidi" w:hAnsiTheme="majorBidi" w:cstheme="majorBidi"/>
          <w:sz w:val="24"/>
          <w:szCs w:val="24"/>
        </w:rPr>
      </w:pPr>
    </w:p>
    <w:p w14:paraId="0652E039" w14:textId="77777777" w:rsidR="0033308E" w:rsidRPr="00AB6044" w:rsidRDefault="0033308E" w:rsidP="0033308E">
      <w:pPr>
        <w:spacing w:after="60" w:line="276" w:lineRule="auto"/>
        <w:rPr>
          <w:sz w:val="24"/>
          <w:szCs w:val="24"/>
        </w:rPr>
      </w:pPr>
      <w:r w:rsidRPr="005B3587">
        <w:rPr>
          <w:sz w:val="24"/>
          <w:szCs w:val="24"/>
        </w:rPr>
        <w:t>Charter of Human Rights and Responsibilities Act 2006 (Vic).</w:t>
      </w:r>
      <w:r>
        <w:rPr>
          <w:sz w:val="24"/>
          <w:szCs w:val="24"/>
        </w:rPr>
        <w:t xml:space="preserve"> Retrieved from </w:t>
      </w:r>
      <w:r w:rsidRPr="00366816">
        <w:rPr>
          <w:sz w:val="24"/>
          <w:szCs w:val="24"/>
        </w:rPr>
        <w:t>http://www.austlii.edu.au/cgi-bin/viewdb/au/legis/vic/consol_act/cohrara2006433/</w:t>
      </w:r>
    </w:p>
    <w:p w14:paraId="474AF6DE" w14:textId="77777777" w:rsidR="00A44B87" w:rsidRPr="00E51FA9" w:rsidRDefault="00A44B87" w:rsidP="00B10D81">
      <w:pPr>
        <w:autoSpaceDE w:val="0"/>
        <w:autoSpaceDN w:val="0"/>
        <w:adjustRightInd w:val="0"/>
        <w:spacing w:after="60"/>
        <w:rPr>
          <w:rFonts w:asciiTheme="majorBidi" w:hAnsiTheme="majorBidi" w:cstheme="majorBidi"/>
          <w:sz w:val="24"/>
          <w:szCs w:val="24"/>
        </w:rPr>
      </w:pPr>
    </w:p>
    <w:p w14:paraId="21ED8050" w14:textId="65C0F4BB" w:rsidR="00A44B87" w:rsidRPr="00E51FA9" w:rsidRDefault="00A44B87" w:rsidP="00B10D81">
      <w:pPr>
        <w:autoSpaceDE w:val="0"/>
        <w:autoSpaceDN w:val="0"/>
        <w:adjustRightInd w:val="0"/>
        <w:spacing w:after="60"/>
        <w:rPr>
          <w:rFonts w:asciiTheme="majorBidi" w:hAnsiTheme="majorBidi" w:cstheme="majorBidi"/>
          <w:i/>
          <w:sz w:val="24"/>
          <w:szCs w:val="24"/>
        </w:rPr>
      </w:pPr>
      <w:r w:rsidRPr="00E51FA9">
        <w:rPr>
          <w:rFonts w:asciiTheme="majorBidi" w:hAnsiTheme="majorBidi" w:cstheme="majorBidi"/>
          <w:sz w:val="24"/>
          <w:szCs w:val="24"/>
        </w:rPr>
        <w:t xml:space="preserve">Clement, T., &amp; Bigby, C. (2012). Competencies of frontline managers of supported accommodation services: Issues for practice and future research. </w:t>
      </w:r>
      <w:r w:rsidRPr="00E51FA9">
        <w:rPr>
          <w:rFonts w:asciiTheme="majorBidi" w:hAnsiTheme="majorBidi" w:cstheme="majorBidi"/>
          <w:i/>
          <w:sz w:val="24"/>
          <w:szCs w:val="24"/>
        </w:rPr>
        <w:t>Journal of Intellectual and Developmental Disability, 37</w:t>
      </w:r>
      <w:r w:rsidRPr="00FD6865">
        <w:rPr>
          <w:rFonts w:asciiTheme="majorBidi" w:hAnsiTheme="majorBidi" w:cstheme="majorBidi"/>
          <w:sz w:val="24"/>
          <w:szCs w:val="24"/>
        </w:rPr>
        <w:t>,</w:t>
      </w:r>
      <w:r w:rsidR="00A215BD">
        <w:rPr>
          <w:rFonts w:asciiTheme="majorBidi" w:hAnsiTheme="majorBidi" w:cstheme="majorBidi"/>
          <w:sz w:val="24"/>
          <w:szCs w:val="24"/>
        </w:rPr>
        <w:t xml:space="preserve"> </w:t>
      </w:r>
      <w:r w:rsidRPr="00FD6865">
        <w:rPr>
          <w:rFonts w:asciiTheme="majorBidi" w:hAnsiTheme="majorBidi" w:cstheme="majorBidi"/>
          <w:sz w:val="24"/>
          <w:szCs w:val="24"/>
        </w:rPr>
        <w:t>131-140</w:t>
      </w:r>
      <w:r w:rsidR="00A215BD">
        <w:rPr>
          <w:rFonts w:asciiTheme="majorBidi" w:hAnsiTheme="majorBidi" w:cstheme="majorBidi"/>
          <w:sz w:val="24"/>
          <w:szCs w:val="24"/>
        </w:rPr>
        <w:t>.</w:t>
      </w:r>
    </w:p>
    <w:p w14:paraId="2F60327D" w14:textId="77777777" w:rsidR="00A44B87" w:rsidRPr="00E51FA9" w:rsidRDefault="00A44B87" w:rsidP="00B10D81">
      <w:pPr>
        <w:autoSpaceDE w:val="0"/>
        <w:autoSpaceDN w:val="0"/>
        <w:adjustRightInd w:val="0"/>
        <w:spacing w:after="60"/>
        <w:rPr>
          <w:rFonts w:asciiTheme="majorBidi" w:hAnsiTheme="majorBidi" w:cstheme="majorBidi"/>
          <w:i/>
          <w:sz w:val="24"/>
          <w:szCs w:val="24"/>
        </w:rPr>
      </w:pPr>
    </w:p>
    <w:p w14:paraId="284D4C62" w14:textId="53D5593B"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Cooper, C., Selwood, A., &amp; Livingston, G. (2008). The prevalence of elder abuse and neglect: a systematic review. </w:t>
      </w:r>
      <w:r w:rsidRPr="00E51FA9">
        <w:rPr>
          <w:rFonts w:asciiTheme="majorBidi" w:hAnsiTheme="majorBidi" w:cstheme="majorBidi"/>
          <w:i/>
          <w:iCs/>
          <w:sz w:val="24"/>
          <w:szCs w:val="24"/>
          <w:lang w:eastAsia="en-AU" w:bidi="he-IL"/>
        </w:rPr>
        <w:t>Age and ageing, 37</w:t>
      </w:r>
      <w:r w:rsidRPr="00FD6865">
        <w:rPr>
          <w:rFonts w:asciiTheme="majorBidi" w:hAnsiTheme="majorBidi" w:cstheme="majorBidi"/>
          <w:iCs/>
          <w:sz w:val="24"/>
          <w:szCs w:val="24"/>
          <w:lang w:eastAsia="en-AU" w:bidi="he-IL"/>
        </w:rPr>
        <w:t>(2),</w:t>
      </w:r>
      <w:r w:rsidRPr="00E51FA9">
        <w:rPr>
          <w:rFonts w:asciiTheme="majorBidi" w:hAnsiTheme="majorBidi" w:cstheme="majorBidi"/>
          <w:sz w:val="24"/>
          <w:szCs w:val="24"/>
          <w:lang w:eastAsia="en-AU" w:bidi="he-IL"/>
        </w:rPr>
        <w:t xml:space="preserve"> 151-160. </w:t>
      </w:r>
    </w:p>
    <w:p w14:paraId="3ACD1808" w14:textId="77777777" w:rsidR="005B3587" w:rsidRDefault="005B3587" w:rsidP="00B10D81">
      <w:pPr>
        <w:spacing w:after="60"/>
        <w:rPr>
          <w:rFonts w:asciiTheme="majorBidi" w:hAnsiTheme="majorBidi" w:cstheme="majorBidi"/>
          <w:sz w:val="24"/>
          <w:szCs w:val="24"/>
        </w:rPr>
      </w:pPr>
    </w:p>
    <w:p w14:paraId="38782391" w14:textId="367EB25A" w:rsidR="00A44B87" w:rsidRPr="00E51FA9" w:rsidRDefault="00F36329" w:rsidP="00B10D81">
      <w:pPr>
        <w:spacing w:after="60"/>
        <w:rPr>
          <w:rFonts w:asciiTheme="majorBidi" w:hAnsiTheme="majorBidi" w:cstheme="majorBidi"/>
          <w:sz w:val="24"/>
          <w:szCs w:val="24"/>
        </w:rPr>
      </w:pPr>
      <w:r>
        <w:rPr>
          <w:rFonts w:asciiTheme="majorBidi" w:hAnsiTheme="majorBidi" w:cstheme="majorBidi"/>
          <w:sz w:val="24"/>
          <w:szCs w:val="24"/>
        </w:rPr>
        <w:lastRenderedPageBreak/>
        <w:t xml:space="preserve">Department of Communities. </w:t>
      </w:r>
      <w:r w:rsidR="00B10D81">
        <w:rPr>
          <w:rFonts w:asciiTheme="majorBidi" w:hAnsiTheme="majorBidi" w:cstheme="majorBidi"/>
          <w:sz w:val="24"/>
          <w:szCs w:val="24"/>
        </w:rPr>
        <w:t>(</w:t>
      </w:r>
      <w:r w:rsidR="00A44B87" w:rsidRPr="00E51FA9">
        <w:rPr>
          <w:rFonts w:asciiTheme="majorBidi" w:hAnsiTheme="majorBidi" w:cstheme="majorBidi"/>
          <w:sz w:val="24"/>
          <w:szCs w:val="24"/>
        </w:rPr>
        <w:t>2012</w:t>
      </w:r>
      <w:r w:rsidR="00B10D81">
        <w:rPr>
          <w:rFonts w:asciiTheme="majorBidi" w:hAnsiTheme="majorBidi" w:cstheme="majorBidi"/>
          <w:sz w:val="24"/>
          <w:szCs w:val="24"/>
        </w:rPr>
        <w:t>).</w:t>
      </w:r>
      <w:r w:rsidR="00A44B87" w:rsidRPr="00E51FA9">
        <w:rPr>
          <w:rFonts w:asciiTheme="majorBidi" w:hAnsiTheme="majorBidi" w:cstheme="majorBidi"/>
          <w:sz w:val="24"/>
          <w:szCs w:val="24"/>
        </w:rPr>
        <w:t xml:space="preserve"> </w:t>
      </w:r>
      <w:r w:rsidR="00A44B87" w:rsidRPr="00F36329">
        <w:rPr>
          <w:rFonts w:asciiTheme="majorBidi" w:hAnsiTheme="majorBidi" w:cstheme="majorBidi"/>
          <w:i/>
          <w:sz w:val="24"/>
          <w:szCs w:val="24"/>
        </w:rPr>
        <w:t>Preventing and responding to the abuse, neglect and exploitati</w:t>
      </w:r>
      <w:r w:rsidRPr="00F36329">
        <w:rPr>
          <w:rFonts w:asciiTheme="majorBidi" w:hAnsiTheme="majorBidi" w:cstheme="majorBidi"/>
          <w:i/>
          <w:sz w:val="24"/>
          <w:szCs w:val="24"/>
        </w:rPr>
        <w:t xml:space="preserve">on of people with a disability: </w:t>
      </w:r>
      <w:r w:rsidR="00A44B87" w:rsidRPr="00F36329">
        <w:rPr>
          <w:rFonts w:asciiTheme="majorBidi" w:hAnsiTheme="majorBidi" w:cstheme="majorBidi"/>
          <w:i/>
          <w:iCs/>
          <w:sz w:val="24"/>
          <w:szCs w:val="24"/>
        </w:rPr>
        <w:t>Tips and resources for disability service managers and staff</w:t>
      </w:r>
      <w:r w:rsidRPr="00F36329">
        <w:rPr>
          <w:rFonts w:asciiTheme="majorBidi" w:hAnsiTheme="majorBidi" w:cstheme="majorBidi"/>
          <w:i/>
          <w:iCs/>
          <w:sz w:val="24"/>
          <w:szCs w:val="24"/>
        </w:rPr>
        <w:t>.</w:t>
      </w:r>
      <w:r w:rsidR="00A44B87" w:rsidRPr="00F36329">
        <w:rPr>
          <w:rFonts w:asciiTheme="majorBidi" w:hAnsiTheme="majorBidi" w:cstheme="majorBidi"/>
          <w:iCs/>
          <w:sz w:val="24"/>
          <w:szCs w:val="24"/>
        </w:rPr>
        <w:t xml:space="preserve"> </w:t>
      </w:r>
      <w:r>
        <w:rPr>
          <w:rFonts w:asciiTheme="majorBidi" w:hAnsiTheme="majorBidi" w:cstheme="majorBidi"/>
          <w:iCs/>
          <w:sz w:val="24"/>
          <w:szCs w:val="24"/>
        </w:rPr>
        <w:t>Brisbane</w:t>
      </w:r>
      <w:r w:rsidR="000F7693">
        <w:rPr>
          <w:rFonts w:asciiTheme="majorBidi" w:hAnsiTheme="majorBidi" w:cstheme="majorBidi"/>
          <w:iCs/>
          <w:sz w:val="24"/>
          <w:szCs w:val="24"/>
        </w:rPr>
        <w:t>, Australia</w:t>
      </w:r>
      <w:r>
        <w:rPr>
          <w:rFonts w:asciiTheme="majorBidi" w:hAnsiTheme="majorBidi" w:cstheme="majorBidi"/>
          <w:iCs/>
          <w:sz w:val="24"/>
          <w:szCs w:val="24"/>
        </w:rPr>
        <w:t xml:space="preserve">: </w:t>
      </w:r>
      <w:r w:rsidR="00A44B87" w:rsidRPr="00F36329">
        <w:rPr>
          <w:rFonts w:asciiTheme="majorBidi" w:hAnsiTheme="majorBidi" w:cstheme="majorBidi"/>
          <w:iCs/>
          <w:sz w:val="24"/>
          <w:szCs w:val="24"/>
        </w:rPr>
        <w:t>Queensland Government</w:t>
      </w:r>
      <w:r w:rsidR="00A44B87" w:rsidRPr="00E51FA9">
        <w:rPr>
          <w:rFonts w:asciiTheme="majorBidi" w:hAnsiTheme="majorBidi" w:cstheme="majorBidi"/>
          <w:sz w:val="24"/>
          <w:szCs w:val="24"/>
        </w:rPr>
        <w:t>.</w:t>
      </w:r>
    </w:p>
    <w:p w14:paraId="73F954F4" w14:textId="77777777" w:rsidR="00A44B87" w:rsidRPr="00E51FA9" w:rsidRDefault="00A44B87" w:rsidP="00B10D81">
      <w:pPr>
        <w:spacing w:after="60"/>
        <w:rPr>
          <w:rFonts w:asciiTheme="majorBidi" w:hAnsiTheme="majorBidi" w:cstheme="majorBidi"/>
          <w:sz w:val="24"/>
          <w:szCs w:val="24"/>
        </w:rPr>
      </w:pPr>
    </w:p>
    <w:p w14:paraId="3F3D0855" w14:textId="2AFE74D1"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Health</w:t>
      </w:r>
      <w:r w:rsidR="00F36329">
        <w:rPr>
          <w:rFonts w:asciiTheme="majorBidi" w:hAnsiTheme="majorBidi" w:cstheme="majorBidi"/>
          <w:sz w:val="24"/>
          <w:szCs w:val="24"/>
        </w:rPr>
        <w:t>.</w:t>
      </w:r>
      <w:r w:rsidRPr="00E51FA9">
        <w:rPr>
          <w:rFonts w:asciiTheme="majorBidi" w:hAnsiTheme="majorBidi" w:cstheme="majorBidi"/>
          <w:sz w:val="24"/>
          <w:szCs w:val="24"/>
        </w:rPr>
        <w:t xml:space="preserve"> (2011)</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F36329">
        <w:rPr>
          <w:rFonts w:asciiTheme="majorBidi" w:hAnsiTheme="majorBidi" w:cstheme="majorBidi"/>
          <w:i/>
          <w:sz w:val="24"/>
          <w:szCs w:val="24"/>
        </w:rPr>
        <w:t>Government Policy on Adult Safeguarding United K</w:t>
      </w:r>
      <w:r w:rsidR="00F36329" w:rsidRPr="00F36329">
        <w:rPr>
          <w:rFonts w:asciiTheme="majorBidi" w:hAnsiTheme="majorBidi" w:cstheme="majorBidi"/>
          <w:i/>
          <w:sz w:val="24"/>
          <w:szCs w:val="24"/>
        </w:rPr>
        <w:t>ingdom</w:t>
      </w:r>
      <w:r w:rsidR="00F36329">
        <w:rPr>
          <w:rFonts w:asciiTheme="majorBidi" w:hAnsiTheme="majorBidi" w:cstheme="majorBidi"/>
          <w:sz w:val="24"/>
          <w:szCs w:val="24"/>
        </w:rPr>
        <w:t xml:space="preserve">. Retrieved from </w:t>
      </w:r>
      <w:hyperlink r:id="rId27" w:history="1">
        <w:r w:rsidR="00F36329" w:rsidRPr="00C64B1F">
          <w:rPr>
            <w:rStyle w:val="Hyperlink"/>
            <w:rFonts w:asciiTheme="majorBidi" w:hAnsiTheme="majorBidi" w:cstheme="majorBidi"/>
            <w:color w:val="auto"/>
            <w:sz w:val="24"/>
            <w:szCs w:val="24"/>
            <w:u w:val="none"/>
          </w:rPr>
          <w:t>http://www.dh.gov.uk/en/Publicationsandstatistics/Publications/PublicationsPolicyAndGuidance/DH_126748</w:t>
        </w:r>
      </w:hyperlink>
      <w:r w:rsidR="00F36329" w:rsidRPr="00460210">
        <w:rPr>
          <w:rFonts w:asciiTheme="majorBidi" w:hAnsiTheme="majorBidi" w:cstheme="majorBidi"/>
          <w:sz w:val="24"/>
          <w:szCs w:val="24"/>
        </w:rPr>
        <w:t xml:space="preserve">  </w:t>
      </w:r>
    </w:p>
    <w:p w14:paraId="237569BD" w14:textId="77777777" w:rsidR="00A44B87" w:rsidRPr="00E51FA9" w:rsidRDefault="00A44B87" w:rsidP="00B10D81">
      <w:pPr>
        <w:spacing w:after="60"/>
        <w:rPr>
          <w:rFonts w:asciiTheme="majorBidi" w:hAnsiTheme="majorBidi" w:cstheme="majorBidi"/>
          <w:sz w:val="24"/>
          <w:szCs w:val="24"/>
        </w:rPr>
      </w:pPr>
    </w:p>
    <w:p w14:paraId="6A664EB9" w14:textId="6F37ED0D"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4712C">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2005</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4712C">
        <w:rPr>
          <w:rFonts w:asciiTheme="majorBidi" w:hAnsiTheme="majorBidi" w:cstheme="majorBidi"/>
          <w:i/>
          <w:sz w:val="24"/>
          <w:szCs w:val="24"/>
        </w:rPr>
        <w:t xml:space="preserve">Responding to allegations </w:t>
      </w:r>
      <w:r w:rsidR="0044712C" w:rsidRPr="0044712C">
        <w:rPr>
          <w:rFonts w:asciiTheme="majorBidi" w:hAnsiTheme="majorBidi" w:cstheme="majorBidi"/>
          <w:i/>
          <w:sz w:val="24"/>
          <w:szCs w:val="24"/>
        </w:rPr>
        <w:t>of physical or sexual assault: D</w:t>
      </w:r>
      <w:r w:rsidRPr="0044712C">
        <w:rPr>
          <w:rFonts w:asciiTheme="majorBidi" w:hAnsiTheme="majorBidi" w:cstheme="majorBidi"/>
          <w:i/>
          <w:sz w:val="24"/>
          <w:szCs w:val="24"/>
        </w:rPr>
        <w:t>epartmental instruction</w:t>
      </w:r>
      <w:r w:rsidR="0044712C" w:rsidRPr="0044712C">
        <w:rPr>
          <w:rFonts w:asciiTheme="majorBidi" w:hAnsiTheme="majorBidi" w:cstheme="majorBidi"/>
          <w:i/>
          <w:sz w:val="24"/>
          <w:szCs w:val="24"/>
        </w:rPr>
        <w:t xml:space="preserve"> August 2005</w:t>
      </w:r>
      <w:r w:rsidR="0044712C">
        <w:rPr>
          <w:rFonts w:asciiTheme="majorBidi" w:hAnsiTheme="majorBidi" w:cstheme="majorBidi"/>
          <w:sz w:val="24"/>
          <w:szCs w:val="24"/>
        </w:rPr>
        <w:t>.</w:t>
      </w:r>
      <w:r w:rsidRPr="00E51FA9">
        <w:rPr>
          <w:rFonts w:asciiTheme="majorBidi" w:hAnsiTheme="majorBidi" w:cstheme="majorBidi"/>
          <w:sz w:val="24"/>
          <w:szCs w:val="24"/>
        </w:rPr>
        <w:t xml:space="preserve"> </w:t>
      </w:r>
      <w:r w:rsidR="0044712C" w:rsidRPr="00E51FA9">
        <w:rPr>
          <w:rFonts w:asciiTheme="majorBidi" w:hAnsiTheme="majorBidi" w:cstheme="majorBidi"/>
          <w:sz w:val="24"/>
          <w:szCs w:val="24"/>
        </w:rPr>
        <w:t>Melbourne</w:t>
      </w:r>
      <w:r w:rsidR="0039445C">
        <w:rPr>
          <w:rFonts w:asciiTheme="majorBidi" w:hAnsiTheme="majorBidi" w:cstheme="majorBidi"/>
          <w:sz w:val="24"/>
          <w:szCs w:val="24"/>
        </w:rPr>
        <w:t>, Australia</w:t>
      </w:r>
      <w:r w:rsidR="0044712C" w:rsidRPr="00840461">
        <w:rPr>
          <w:rFonts w:asciiTheme="majorBidi" w:hAnsiTheme="majorBidi" w:cstheme="majorBidi"/>
          <w:sz w:val="24"/>
          <w:szCs w:val="24"/>
        </w:rPr>
        <w:t>:</w:t>
      </w:r>
      <w:r w:rsidR="0044712C" w:rsidRPr="00840461">
        <w:rPr>
          <w:rFonts w:asciiTheme="majorBidi" w:hAnsiTheme="majorBidi" w:cstheme="majorBidi"/>
          <w:iCs/>
          <w:sz w:val="24"/>
          <w:szCs w:val="24"/>
        </w:rPr>
        <w:t xml:space="preserve"> </w:t>
      </w:r>
      <w:r w:rsidR="00840461" w:rsidRPr="00840461">
        <w:rPr>
          <w:rFonts w:asciiTheme="majorBidi" w:hAnsiTheme="majorBidi" w:cstheme="majorBidi"/>
          <w:iCs/>
          <w:sz w:val="24"/>
          <w:szCs w:val="24"/>
        </w:rPr>
        <w:t>Victorian Government</w:t>
      </w:r>
      <w:r w:rsidR="00840461">
        <w:rPr>
          <w:rFonts w:asciiTheme="majorBidi" w:hAnsiTheme="majorBidi" w:cstheme="majorBidi"/>
          <w:i/>
          <w:iCs/>
          <w:sz w:val="24"/>
          <w:szCs w:val="24"/>
        </w:rPr>
        <w:t xml:space="preserve"> </w:t>
      </w:r>
      <w:r w:rsidRPr="0044712C">
        <w:rPr>
          <w:rFonts w:asciiTheme="majorBidi" w:hAnsiTheme="majorBidi" w:cstheme="majorBidi"/>
          <w:iCs/>
          <w:sz w:val="24"/>
          <w:szCs w:val="24"/>
        </w:rPr>
        <w:t>Department of Human Services</w:t>
      </w:r>
      <w:r w:rsidRPr="00E51FA9">
        <w:rPr>
          <w:rFonts w:asciiTheme="majorBidi" w:hAnsiTheme="majorBidi" w:cstheme="majorBidi"/>
          <w:sz w:val="24"/>
          <w:szCs w:val="24"/>
        </w:rPr>
        <w:t>.</w:t>
      </w:r>
    </w:p>
    <w:p w14:paraId="71E711F4" w14:textId="77777777" w:rsidR="00A44B87" w:rsidRPr="00E51FA9" w:rsidRDefault="00A44B87" w:rsidP="00B10D81">
      <w:pPr>
        <w:spacing w:after="60"/>
        <w:rPr>
          <w:rFonts w:asciiTheme="majorBidi" w:hAnsiTheme="majorBidi" w:cstheme="majorBidi"/>
          <w:sz w:val="24"/>
          <w:szCs w:val="24"/>
        </w:rPr>
      </w:pPr>
    </w:p>
    <w:p w14:paraId="0F292ED0" w14:textId="1EF48006" w:rsidR="00425944" w:rsidRPr="00E51FA9" w:rsidRDefault="00A44B87" w:rsidP="00425944">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2007</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Understanding the Quality Framework for Disability Services in Victoria: A resource guide for disability service providers</w:t>
      </w:r>
      <w:r w:rsidR="00425944">
        <w:rPr>
          <w:rFonts w:asciiTheme="majorBidi" w:hAnsiTheme="majorBidi" w:cstheme="majorBidi"/>
          <w:sz w:val="24"/>
          <w:szCs w:val="24"/>
        </w:rPr>
        <w:t>.</w:t>
      </w:r>
      <w:r w:rsidR="00425944" w:rsidRPr="00425944">
        <w:rPr>
          <w:rFonts w:asciiTheme="majorBidi" w:hAnsiTheme="majorBidi" w:cstheme="majorBidi"/>
          <w:sz w:val="24"/>
          <w:szCs w:val="24"/>
        </w:rPr>
        <w:t xml:space="preserve"> </w:t>
      </w:r>
      <w:r w:rsidR="00425944" w:rsidRPr="00E51FA9">
        <w:rPr>
          <w:rFonts w:asciiTheme="majorBidi" w:hAnsiTheme="majorBidi" w:cstheme="majorBidi"/>
          <w:sz w:val="24"/>
          <w:szCs w:val="24"/>
        </w:rPr>
        <w:t>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0C513B9A" w14:textId="5914D481" w:rsidR="00A44B87" w:rsidRPr="00E51FA9" w:rsidRDefault="00A44B87" w:rsidP="00B10D81">
      <w:pPr>
        <w:spacing w:after="60"/>
        <w:rPr>
          <w:rFonts w:asciiTheme="majorBidi" w:hAnsiTheme="majorBidi" w:cstheme="majorBidi"/>
          <w:sz w:val="24"/>
          <w:szCs w:val="24"/>
        </w:rPr>
      </w:pPr>
    </w:p>
    <w:p w14:paraId="75789520" w14:textId="25E34AF4" w:rsidR="00425944" w:rsidRPr="00E51FA9" w:rsidRDefault="00A44B87" w:rsidP="00425944">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2009</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Critical Incident Response Manag</w:t>
      </w:r>
      <w:r w:rsidR="00425944" w:rsidRPr="00425944">
        <w:rPr>
          <w:rFonts w:asciiTheme="majorBidi" w:hAnsiTheme="majorBidi" w:cstheme="majorBidi"/>
          <w:i/>
          <w:sz w:val="24"/>
          <w:szCs w:val="24"/>
        </w:rPr>
        <w:t>ement (CIRM) Service Guidelines</w:t>
      </w:r>
      <w:r w:rsidRPr="00E51FA9">
        <w:rPr>
          <w:rFonts w:asciiTheme="majorBidi" w:hAnsiTheme="majorBidi" w:cstheme="majorBidi"/>
          <w:sz w:val="24"/>
          <w:szCs w:val="24"/>
        </w:rPr>
        <w:t>.</w:t>
      </w:r>
      <w:r w:rsidR="00425944">
        <w:rPr>
          <w:rFonts w:asciiTheme="majorBidi" w:hAnsiTheme="majorBidi" w:cstheme="majorBidi"/>
          <w:sz w:val="24"/>
          <w:szCs w:val="24"/>
        </w:rPr>
        <w:t xml:space="preserve"> </w:t>
      </w:r>
      <w:r w:rsidR="00425944" w:rsidRPr="00E51FA9">
        <w:rPr>
          <w:rFonts w:asciiTheme="majorBidi" w:hAnsiTheme="majorBidi" w:cstheme="majorBidi"/>
          <w:sz w:val="24"/>
          <w:szCs w:val="24"/>
        </w:rPr>
        <w:t>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7027BCF7" w14:textId="77777777" w:rsidR="00A44B87" w:rsidRPr="00E51FA9" w:rsidRDefault="00A44B87" w:rsidP="00B10D81">
      <w:pPr>
        <w:spacing w:after="60"/>
        <w:rPr>
          <w:rFonts w:asciiTheme="majorBidi" w:hAnsiTheme="majorBidi" w:cstheme="majorBidi"/>
          <w:sz w:val="24"/>
          <w:szCs w:val="24"/>
        </w:rPr>
      </w:pPr>
    </w:p>
    <w:p w14:paraId="0E375EC1" w14:textId="7944F4DA" w:rsidR="00A44B87"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2009</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Residential services practice manual</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proofErr w:type="spellStart"/>
      <w:r w:rsidR="00425944" w:rsidRPr="00E51FA9">
        <w:rPr>
          <w:rFonts w:asciiTheme="majorBidi" w:hAnsiTheme="majorBidi" w:cstheme="majorBidi"/>
          <w:sz w:val="24"/>
          <w:szCs w:val="24"/>
        </w:rPr>
        <w:t>Melbourn</w:t>
      </w:r>
      <w:proofErr w:type="spellEnd"/>
      <w:r w:rsidR="0039445C">
        <w:rPr>
          <w:rFonts w:asciiTheme="majorBidi" w:hAnsiTheme="majorBidi" w:cstheme="majorBidi"/>
          <w:sz w:val="24"/>
          <w:szCs w:val="24"/>
        </w:rPr>
        <w:t>, Australia</w:t>
      </w:r>
      <w:r w:rsidR="0039445C" w:rsidRPr="00E51FA9">
        <w:rPr>
          <w:rFonts w:asciiTheme="majorBidi" w:hAnsiTheme="majorBidi" w:cstheme="majorBidi"/>
          <w:sz w:val="24"/>
          <w:szCs w:val="24"/>
        </w:rPr>
        <w:t xml:space="preserve"> </w:t>
      </w:r>
      <w:r w:rsidR="00425944" w:rsidRPr="00E51FA9">
        <w:rPr>
          <w:rFonts w:asciiTheme="majorBidi" w:hAnsiTheme="majorBidi" w:cstheme="majorBidi"/>
          <w:sz w:val="24"/>
          <w:szCs w:val="24"/>
        </w:rPr>
        <w:t>e</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3BDDA83B" w14:textId="0766717A" w:rsidR="00425944" w:rsidRDefault="00425944" w:rsidP="00B10D81">
      <w:pPr>
        <w:spacing w:after="60"/>
        <w:rPr>
          <w:rFonts w:asciiTheme="majorBidi" w:hAnsiTheme="majorBidi" w:cstheme="majorBidi"/>
          <w:sz w:val="24"/>
          <w:szCs w:val="24"/>
        </w:rPr>
      </w:pPr>
    </w:p>
    <w:p w14:paraId="7D3ACF67" w14:textId="106DFE0F"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2010</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Incident reporting instruction–technical update December 2010</w:t>
      </w:r>
      <w:r w:rsidR="00425944">
        <w:rPr>
          <w:rFonts w:asciiTheme="majorBidi" w:hAnsiTheme="majorBidi" w:cstheme="majorBidi"/>
          <w:sz w:val="24"/>
          <w:szCs w:val="24"/>
        </w:rPr>
        <w:t>.</w:t>
      </w:r>
      <w:r w:rsidR="00425944" w:rsidRPr="00E51FA9">
        <w:rPr>
          <w:rFonts w:asciiTheme="majorBidi" w:hAnsiTheme="majorBidi" w:cstheme="majorBidi"/>
          <w:sz w:val="24"/>
          <w:szCs w:val="24"/>
        </w:rPr>
        <w:t xml:space="preserve"> 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54339296" w14:textId="77777777" w:rsidR="00A44B87" w:rsidRPr="00E51FA9" w:rsidRDefault="00A44B87" w:rsidP="00B10D81">
      <w:pPr>
        <w:spacing w:after="60"/>
        <w:rPr>
          <w:rFonts w:asciiTheme="majorBidi" w:hAnsiTheme="majorBidi" w:cstheme="majorBidi"/>
          <w:sz w:val="24"/>
          <w:szCs w:val="24"/>
        </w:rPr>
      </w:pPr>
    </w:p>
    <w:p w14:paraId="598B5B2F" w14:textId="1EEC9902"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2010</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Protocol between Victoria Police and the Department of Human Services: reporting employee criminal conduct policy</w:t>
      </w:r>
      <w:r w:rsidR="00425944">
        <w:rPr>
          <w:rFonts w:asciiTheme="majorBidi" w:hAnsiTheme="majorBidi" w:cstheme="majorBidi"/>
          <w:sz w:val="24"/>
          <w:szCs w:val="24"/>
        </w:rPr>
        <w:t>.</w:t>
      </w:r>
      <w:r w:rsidR="00425944" w:rsidRPr="00E51FA9">
        <w:rPr>
          <w:rFonts w:asciiTheme="majorBidi" w:hAnsiTheme="majorBidi" w:cstheme="majorBidi"/>
          <w:sz w:val="24"/>
          <w:szCs w:val="24"/>
        </w:rPr>
        <w:t xml:space="preserve"> 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5235F9FB" w14:textId="77777777" w:rsidR="00A44B87" w:rsidRPr="00E51FA9" w:rsidRDefault="00A44B87" w:rsidP="00B10D81">
      <w:pPr>
        <w:spacing w:after="60"/>
        <w:rPr>
          <w:rFonts w:asciiTheme="majorBidi" w:hAnsiTheme="majorBidi" w:cstheme="majorBidi"/>
          <w:sz w:val="24"/>
          <w:szCs w:val="24"/>
        </w:rPr>
      </w:pPr>
    </w:p>
    <w:p w14:paraId="7BC3FF33" w14:textId="4BAEF3BF"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2011</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Critical Client Incident Management Instruction</w:t>
      </w:r>
      <w:r w:rsidRPr="00E51FA9">
        <w:rPr>
          <w:rFonts w:asciiTheme="majorBidi" w:hAnsiTheme="majorBidi" w:cstheme="majorBidi"/>
          <w:sz w:val="24"/>
          <w:szCs w:val="24"/>
        </w:rPr>
        <w:t>.</w:t>
      </w:r>
      <w:r w:rsidR="00425944">
        <w:rPr>
          <w:rFonts w:asciiTheme="majorBidi" w:hAnsiTheme="majorBidi" w:cstheme="majorBidi"/>
          <w:sz w:val="24"/>
          <w:szCs w:val="24"/>
        </w:rPr>
        <w:t xml:space="preserve"> </w:t>
      </w:r>
      <w:r w:rsidR="00425944" w:rsidRPr="00E51FA9">
        <w:rPr>
          <w:rFonts w:asciiTheme="majorBidi" w:hAnsiTheme="majorBidi" w:cstheme="majorBidi"/>
          <w:sz w:val="24"/>
          <w:szCs w:val="24"/>
        </w:rPr>
        <w:t>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292252BF" w14:textId="77777777" w:rsidR="00A44B87" w:rsidRPr="00E51FA9" w:rsidRDefault="00A44B87" w:rsidP="00B10D81">
      <w:pPr>
        <w:spacing w:after="60"/>
        <w:rPr>
          <w:rFonts w:asciiTheme="majorBidi" w:hAnsiTheme="majorBidi" w:cstheme="majorBidi"/>
          <w:sz w:val="24"/>
          <w:szCs w:val="24"/>
        </w:rPr>
      </w:pPr>
    </w:p>
    <w:p w14:paraId="24CD2FBF" w14:textId="0EB1BF7B"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2011</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Department of Human Services Standards (June 2011)</w:t>
      </w:r>
      <w:r w:rsidR="00425944">
        <w:rPr>
          <w:rFonts w:asciiTheme="majorBidi" w:hAnsiTheme="majorBidi" w:cstheme="majorBidi"/>
          <w:sz w:val="24"/>
          <w:szCs w:val="24"/>
        </w:rPr>
        <w:t>.</w:t>
      </w:r>
      <w:r w:rsidR="00425944" w:rsidRPr="00E51FA9">
        <w:rPr>
          <w:rFonts w:asciiTheme="majorBidi" w:hAnsiTheme="majorBidi" w:cstheme="majorBidi"/>
          <w:sz w:val="24"/>
          <w:szCs w:val="24"/>
        </w:rPr>
        <w:t xml:space="preserve"> 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6EAD7B5D" w14:textId="77777777" w:rsidR="00A44B87" w:rsidRPr="00E51FA9" w:rsidRDefault="00A44B87" w:rsidP="00B10D81">
      <w:pPr>
        <w:spacing w:after="60"/>
        <w:rPr>
          <w:rFonts w:asciiTheme="majorBidi" w:hAnsiTheme="majorBidi" w:cstheme="majorBidi"/>
          <w:sz w:val="24"/>
          <w:szCs w:val="24"/>
        </w:rPr>
      </w:pPr>
    </w:p>
    <w:p w14:paraId="10629BD8" w14:textId="22B29D39"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2011</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Departmental Incident reporting guide</w:t>
      </w:r>
      <w:r w:rsidR="00425944">
        <w:rPr>
          <w:rFonts w:asciiTheme="majorBidi" w:hAnsiTheme="majorBidi" w:cstheme="majorBidi"/>
          <w:sz w:val="24"/>
          <w:szCs w:val="24"/>
        </w:rPr>
        <w:t>.</w:t>
      </w:r>
      <w:r w:rsidR="00425944" w:rsidRPr="00E51FA9">
        <w:rPr>
          <w:rFonts w:asciiTheme="majorBidi" w:hAnsiTheme="majorBidi" w:cstheme="majorBidi"/>
          <w:sz w:val="24"/>
          <w:szCs w:val="24"/>
        </w:rPr>
        <w:t xml:space="preserve"> 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32016717" w14:textId="77777777" w:rsidR="00A44B87" w:rsidRPr="00E51FA9" w:rsidRDefault="00A44B87" w:rsidP="00B10D81">
      <w:pPr>
        <w:spacing w:after="60"/>
        <w:rPr>
          <w:rFonts w:asciiTheme="majorBidi" w:hAnsiTheme="majorBidi" w:cstheme="majorBidi"/>
          <w:sz w:val="24"/>
          <w:szCs w:val="24"/>
        </w:rPr>
      </w:pPr>
    </w:p>
    <w:p w14:paraId="7ADCAAFA" w14:textId="0ED4C948" w:rsidR="00A44B87"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Department of Human Services</w:t>
      </w:r>
      <w:r w:rsidR="00425944">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2012</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425944">
        <w:rPr>
          <w:rFonts w:asciiTheme="majorBidi" w:hAnsiTheme="majorBidi" w:cstheme="majorBidi"/>
          <w:i/>
          <w:sz w:val="24"/>
          <w:szCs w:val="24"/>
        </w:rPr>
        <w:t>Department of Human Services Standards evidence guide (December 2011</w:t>
      </w:r>
      <w:r w:rsidR="00425944" w:rsidRPr="00425944">
        <w:rPr>
          <w:rFonts w:asciiTheme="majorBidi" w:hAnsiTheme="majorBidi" w:cstheme="majorBidi"/>
          <w:i/>
          <w:sz w:val="24"/>
          <w:szCs w:val="24"/>
        </w:rPr>
        <w:t>)</w:t>
      </w:r>
      <w:r w:rsidRPr="00E51FA9">
        <w:rPr>
          <w:rFonts w:asciiTheme="majorBidi" w:hAnsiTheme="majorBidi" w:cstheme="majorBidi"/>
          <w:sz w:val="24"/>
          <w:szCs w:val="24"/>
        </w:rPr>
        <w:t>.</w:t>
      </w:r>
      <w:r w:rsidR="00425944">
        <w:rPr>
          <w:rFonts w:asciiTheme="majorBidi" w:hAnsiTheme="majorBidi" w:cstheme="majorBidi"/>
          <w:sz w:val="24"/>
          <w:szCs w:val="24"/>
        </w:rPr>
        <w:t xml:space="preserve"> </w:t>
      </w:r>
      <w:r w:rsidR="00425944" w:rsidRPr="00E51FA9">
        <w:rPr>
          <w:rFonts w:asciiTheme="majorBidi" w:hAnsiTheme="majorBidi" w:cstheme="majorBidi"/>
          <w:sz w:val="24"/>
          <w:szCs w:val="24"/>
        </w:rPr>
        <w:t>Melbourne</w:t>
      </w:r>
      <w:r w:rsidR="0039445C">
        <w:rPr>
          <w:rFonts w:asciiTheme="majorBidi" w:hAnsiTheme="majorBidi" w:cstheme="majorBidi"/>
          <w:sz w:val="24"/>
          <w:szCs w:val="24"/>
        </w:rPr>
        <w:t>, Australia</w:t>
      </w:r>
      <w:r w:rsidR="00425944" w:rsidRPr="00840461">
        <w:rPr>
          <w:rFonts w:asciiTheme="majorBidi" w:hAnsiTheme="majorBidi" w:cstheme="majorBidi"/>
          <w:sz w:val="24"/>
          <w:szCs w:val="24"/>
        </w:rPr>
        <w:t>:</w:t>
      </w:r>
      <w:r w:rsidR="00425944" w:rsidRPr="00840461">
        <w:rPr>
          <w:rFonts w:asciiTheme="majorBidi" w:hAnsiTheme="majorBidi" w:cstheme="majorBidi"/>
          <w:iCs/>
          <w:sz w:val="24"/>
          <w:szCs w:val="24"/>
        </w:rPr>
        <w:t xml:space="preserve"> Victorian Government</w:t>
      </w:r>
      <w:r w:rsidR="00425944">
        <w:rPr>
          <w:rFonts w:asciiTheme="majorBidi" w:hAnsiTheme="majorBidi" w:cstheme="majorBidi"/>
          <w:i/>
          <w:iCs/>
          <w:sz w:val="24"/>
          <w:szCs w:val="24"/>
        </w:rPr>
        <w:t xml:space="preserve"> </w:t>
      </w:r>
      <w:r w:rsidR="00425944" w:rsidRPr="0044712C">
        <w:rPr>
          <w:rFonts w:asciiTheme="majorBidi" w:hAnsiTheme="majorBidi" w:cstheme="majorBidi"/>
          <w:iCs/>
          <w:sz w:val="24"/>
          <w:szCs w:val="24"/>
        </w:rPr>
        <w:t>Department of Human Services</w:t>
      </w:r>
      <w:r w:rsidR="00425944" w:rsidRPr="00E51FA9">
        <w:rPr>
          <w:rFonts w:asciiTheme="majorBidi" w:hAnsiTheme="majorBidi" w:cstheme="majorBidi"/>
          <w:sz w:val="24"/>
          <w:szCs w:val="24"/>
        </w:rPr>
        <w:t>.</w:t>
      </w:r>
    </w:p>
    <w:p w14:paraId="026BF39A" w14:textId="14A3AC1A" w:rsidR="00F528DB" w:rsidRDefault="00F528DB" w:rsidP="00B10D81">
      <w:pPr>
        <w:spacing w:after="60"/>
        <w:rPr>
          <w:rFonts w:asciiTheme="majorBidi" w:hAnsiTheme="majorBidi" w:cstheme="majorBidi"/>
          <w:sz w:val="24"/>
          <w:szCs w:val="24"/>
        </w:rPr>
      </w:pPr>
    </w:p>
    <w:p w14:paraId="660E1A8A" w14:textId="7D21357D" w:rsidR="00F528DB" w:rsidRPr="00E51FA9" w:rsidRDefault="00F528DB" w:rsidP="00B10D81">
      <w:pPr>
        <w:spacing w:after="60"/>
        <w:rPr>
          <w:rFonts w:asciiTheme="majorBidi" w:hAnsiTheme="majorBidi" w:cstheme="majorBidi"/>
          <w:sz w:val="24"/>
          <w:szCs w:val="24"/>
        </w:rPr>
      </w:pPr>
      <w:r>
        <w:rPr>
          <w:rFonts w:asciiTheme="majorBidi" w:hAnsiTheme="majorBidi" w:cstheme="majorBidi"/>
          <w:sz w:val="24"/>
          <w:szCs w:val="24"/>
        </w:rPr>
        <w:t xml:space="preserve">Department of Social Services. (2016). </w:t>
      </w:r>
      <w:r w:rsidRPr="006C6C57">
        <w:rPr>
          <w:rFonts w:asciiTheme="majorBidi" w:hAnsiTheme="majorBidi" w:cstheme="majorBidi"/>
          <w:i/>
          <w:sz w:val="24"/>
          <w:szCs w:val="24"/>
        </w:rPr>
        <w:t>Do you need to report abuse or neglect of people with disability</w:t>
      </w:r>
      <w:r>
        <w:rPr>
          <w:rFonts w:asciiTheme="majorBidi" w:hAnsiTheme="majorBidi" w:cstheme="majorBidi"/>
          <w:sz w:val="24"/>
          <w:szCs w:val="24"/>
        </w:rPr>
        <w:t xml:space="preserve">. Retrieved from </w:t>
      </w:r>
      <w:hyperlink r:id="rId28" w:history="1">
        <w:r w:rsidRPr="00C64B1F">
          <w:rPr>
            <w:rStyle w:val="Hyperlink"/>
            <w:rFonts w:asciiTheme="majorBidi" w:hAnsiTheme="majorBidi" w:cstheme="majorBidi"/>
            <w:color w:val="auto"/>
            <w:sz w:val="24"/>
            <w:szCs w:val="24"/>
            <w:u w:val="none"/>
          </w:rPr>
          <w:t>https://www.jobaccess.gov.au/people-with-disability/do-you-need-report-abuse-or-neglect-people-with-disability</w:t>
        </w:r>
      </w:hyperlink>
      <w:r w:rsidRPr="00460210">
        <w:rPr>
          <w:rFonts w:asciiTheme="majorBidi" w:hAnsiTheme="majorBidi" w:cstheme="majorBidi"/>
          <w:sz w:val="24"/>
          <w:szCs w:val="24"/>
        </w:rPr>
        <w:t xml:space="preserve"> </w:t>
      </w:r>
    </w:p>
    <w:p w14:paraId="7E983FEA" w14:textId="77777777" w:rsidR="00A44B87" w:rsidRPr="00E51FA9" w:rsidRDefault="00A44B87" w:rsidP="00B10D81">
      <w:pPr>
        <w:spacing w:after="60"/>
        <w:rPr>
          <w:rFonts w:asciiTheme="majorBidi" w:hAnsiTheme="majorBidi" w:cstheme="majorBidi"/>
          <w:sz w:val="24"/>
          <w:szCs w:val="24"/>
        </w:rPr>
      </w:pPr>
    </w:p>
    <w:p w14:paraId="31D8E108" w14:textId="330E6D06"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Didi, A., Soldatic, K., Frohmader, C., &amp; Dowse, L. (2016). Violence against women with disabilities: </w:t>
      </w:r>
      <w:r w:rsidR="00746251">
        <w:rPr>
          <w:rFonts w:asciiTheme="majorBidi" w:hAnsiTheme="majorBidi" w:cstheme="majorBidi"/>
          <w:sz w:val="24"/>
          <w:szCs w:val="24"/>
          <w:lang w:eastAsia="en-AU" w:bidi="he-IL"/>
        </w:rPr>
        <w:t>I</w:t>
      </w:r>
      <w:r w:rsidRPr="00E51FA9">
        <w:rPr>
          <w:rFonts w:asciiTheme="majorBidi" w:hAnsiTheme="majorBidi" w:cstheme="majorBidi"/>
          <w:sz w:val="24"/>
          <w:szCs w:val="24"/>
          <w:lang w:eastAsia="en-AU" w:bidi="he-IL"/>
        </w:rPr>
        <w:t xml:space="preserve">s Australia meeting its human rights obligations? </w:t>
      </w:r>
      <w:r w:rsidRPr="00E51FA9">
        <w:rPr>
          <w:rFonts w:asciiTheme="majorBidi" w:hAnsiTheme="majorBidi" w:cstheme="majorBidi"/>
          <w:i/>
          <w:iCs/>
          <w:sz w:val="24"/>
          <w:szCs w:val="24"/>
          <w:lang w:eastAsia="en-AU" w:bidi="he-IL"/>
        </w:rPr>
        <w:t>Australian Journal of Human Rights, 22(1)</w:t>
      </w:r>
      <w:r w:rsidRPr="00E51FA9">
        <w:rPr>
          <w:rFonts w:asciiTheme="majorBidi" w:hAnsiTheme="majorBidi" w:cstheme="majorBidi"/>
          <w:sz w:val="24"/>
          <w:szCs w:val="24"/>
          <w:lang w:eastAsia="en-AU" w:bidi="he-IL"/>
        </w:rPr>
        <w:t>, 159-177.</w:t>
      </w:r>
    </w:p>
    <w:p w14:paraId="683DAE78" w14:textId="77777777" w:rsidR="00A44B87" w:rsidRPr="00E51FA9" w:rsidRDefault="00A44B87" w:rsidP="00B10D81">
      <w:pPr>
        <w:spacing w:after="60"/>
        <w:rPr>
          <w:rFonts w:asciiTheme="majorBidi" w:hAnsiTheme="majorBidi" w:cstheme="majorBidi"/>
          <w:sz w:val="24"/>
          <w:szCs w:val="24"/>
        </w:rPr>
      </w:pPr>
    </w:p>
    <w:p w14:paraId="215B2523" w14:textId="1B2FA551"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DiRita, P. A., Parmenter, T. R., &amp; Stancliffe, R. J. (2008). Utility, Economic Rationalism and the Circumscription of Agency</w:t>
      </w:r>
      <w:r w:rsidR="0039445C">
        <w:rPr>
          <w:rFonts w:asciiTheme="majorBidi" w:hAnsiTheme="majorBidi" w:cstheme="majorBidi"/>
          <w:sz w:val="24"/>
          <w:szCs w:val="24"/>
        </w:rPr>
        <w:t>.</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Journal of Intellectual Disability Research, 52</w:t>
      </w:r>
      <w:r w:rsidRPr="00746251">
        <w:rPr>
          <w:rFonts w:asciiTheme="majorBidi" w:hAnsiTheme="majorBidi" w:cstheme="majorBidi"/>
          <w:iCs/>
          <w:sz w:val="24"/>
          <w:szCs w:val="24"/>
        </w:rPr>
        <w:t>(7),</w:t>
      </w:r>
      <w:r w:rsidRPr="00E51FA9">
        <w:rPr>
          <w:rFonts w:asciiTheme="majorBidi" w:hAnsiTheme="majorBidi" w:cstheme="majorBidi"/>
          <w:sz w:val="24"/>
          <w:szCs w:val="24"/>
        </w:rPr>
        <w:t xml:space="preserve"> 618–625.</w:t>
      </w:r>
    </w:p>
    <w:p w14:paraId="7B3AD6C4" w14:textId="77777777" w:rsidR="00691471" w:rsidRDefault="00691471" w:rsidP="00B10D81">
      <w:pPr>
        <w:spacing w:after="60"/>
        <w:rPr>
          <w:rFonts w:asciiTheme="majorBidi" w:hAnsiTheme="majorBidi" w:cstheme="majorBidi"/>
          <w:sz w:val="24"/>
          <w:szCs w:val="24"/>
        </w:rPr>
      </w:pPr>
    </w:p>
    <w:p w14:paraId="40AC66A3" w14:textId="4325D32D" w:rsidR="00A44B87" w:rsidRPr="00460210" w:rsidRDefault="00A44B87" w:rsidP="00B10D81">
      <w:pPr>
        <w:spacing w:after="60"/>
        <w:rPr>
          <w:rFonts w:asciiTheme="majorBidi" w:hAnsiTheme="majorBidi" w:cstheme="majorBidi"/>
          <w:sz w:val="24"/>
          <w:szCs w:val="24"/>
          <w:rtl/>
        </w:rPr>
      </w:pPr>
      <w:r w:rsidRPr="00E51FA9">
        <w:rPr>
          <w:rFonts w:asciiTheme="majorBidi" w:hAnsiTheme="majorBidi" w:cstheme="majorBidi"/>
          <w:sz w:val="24"/>
          <w:szCs w:val="24"/>
        </w:rPr>
        <w:t xml:space="preserve">Disability </w:t>
      </w:r>
      <w:r w:rsidR="00B10D81">
        <w:rPr>
          <w:rFonts w:asciiTheme="majorBidi" w:hAnsiTheme="majorBidi" w:cstheme="majorBidi"/>
          <w:sz w:val="24"/>
          <w:szCs w:val="24"/>
        </w:rPr>
        <w:t xml:space="preserve">Services </w:t>
      </w:r>
      <w:r w:rsidRPr="00E51FA9">
        <w:rPr>
          <w:rFonts w:asciiTheme="majorBidi" w:hAnsiTheme="majorBidi" w:cstheme="majorBidi"/>
          <w:sz w:val="24"/>
          <w:szCs w:val="24"/>
        </w:rPr>
        <w:t>Act</w:t>
      </w:r>
      <w:r w:rsidR="00691471">
        <w:rPr>
          <w:rFonts w:asciiTheme="majorBidi" w:hAnsiTheme="majorBidi" w:cstheme="majorBidi"/>
          <w:sz w:val="24"/>
          <w:szCs w:val="24"/>
        </w:rPr>
        <w:t xml:space="preserve">, </w:t>
      </w:r>
      <w:r w:rsidRPr="00E51FA9">
        <w:rPr>
          <w:rFonts w:asciiTheme="majorBidi" w:hAnsiTheme="majorBidi" w:cstheme="majorBidi"/>
          <w:sz w:val="24"/>
          <w:szCs w:val="24"/>
        </w:rPr>
        <w:t>2006</w:t>
      </w:r>
      <w:r w:rsidR="00691471">
        <w:rPr>
          <w:rFonts w:asciiTheme="majorBidi" w:hAnsiTheme="majorBidi" w:cstheme="majorBidi"/>
          <w:sz w:val="24"/>
          <w:szCs w:val="24"/>
        </w:rPr>
        <w:t xml:space="preserve"> (Vic). Available from </w:t>
      </w:r>
      <w:r w:rsidR="00B10D81">
        <w:rPr>
          <w:rFonts w:asciiTheme="majorBidi" w:hAnsiTheme="majorBidi" w:cstheme="majorBidi"/>
          <w:sz w:val="24"/>
          <w:szCs w:val="24"/>
        </w:rPr>
        <w:t xml:space="preserve"> </w:t>
      </w:r>
      <w:r w:rsidRPr="00E51FA9">
        <w:rPr>
          <w:rFonts w:asciiTheme="majorBidi" w:hAnsiTheme="majorBidi" w:cstheme="majorBidi"/>
          <w:sz w:val="24"/>
          <w:szCs w:val="24"/>
        </w:rPr>
        <w:t xml:space="preserve"> </w:t>
      </w:r>
      <w:hyperlink r:id="rId29" w:history="1">
        <w:r w:rsidRPr="00C64B1F">
          <w:rPr>
            <w:rFonts w:asciiTheme="majorBidi" w:hAnsiTheme="majorBidi" w:cstheme="majorBidi"/>
            <w:sz w:val="24"/>
            <w:szCs w:val="24"/>
          </w:rPr>
          <w:t>www.legislation.vic.gov.au/Domino/Web_Notes/LDMS/PubStatbook.../06-023a.pdf</w:t>
        </w:r>
      </w:hyperlink>
    </w:p>
    <w:p w14:paraId="30EA5A86" w14:textId="77777777" w:rsidR="00A44B87" w:rsidRPr="00460210" w:rsidRDefault="00A44B87" w:rsidP="00B10D81">
      <w:pPr>
        <w:spacing w:after="60"/>
        <w:rPr>
          <w:rFonts w:asciiTheme="majorBidi" w:hAnsiTheme="majorBidi" w:cstheme="majorBidi"/>
          <w:sz w:val="24"/>
          <w:szCs w:val="24"/>
        </w:rPr>
      </w:pPr>
    </w:p>
    <w:p w14:paraId="299FA252" w14:textId="5ADEEE55"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Disability Services Commissioner</w:t>
      </w:r>
      <w:r w:rsidR="00724D76">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2008</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724D76">
        <w:rPr>
          <w:rFonts w:asciiTheme="majorBidi" w:hAnsiTheme="majorBidi" w:cstheme="majorBidi"/>
          <w:i/>
          <w:sz w:val="24"/>
          <w:szCs w:val="24"/>
        </w:rPr>
        <w:t>Disability Service Commissioner Annual Report 2008</w:t>
      </w:r>
      <w:r w:rsidR="00724D76">
        <w:rPr>
          <w:rFonts w:asciiTheme="majorBidi" w:hAnsiTheme="majorBidi" w:cstheme="majorBidi"/>
          <w:i/>
          <w:iCs/>
          <w:sz w:val="24"/>
          <w:szCs w:val="24"/>
        </w:rPr>
        <w:t>.</w:t>
      </w:r>
      <w:r w:rsidRPr="00E51FA9">
        <w:rPr>
          <w:rFonts w:asciiTheme="majorBidi" w:hAnsiTheme="majorBidi" w:cstheme="majorBidi"/>
          <w:sz w:val="24"/>
          <w:szCs w:val="24"/>
        </w:rPr>
        <w:t xml:space="preserve"> Melbourne, Australia</w:t>
      </w:r>
      <w:r w:rsidR="00724D76">
        <w:rPr>
          <w:rFonts w:asciiTheme="majorBidi" w:hAnsiTheme="majorBidi" w:cstheme="majorBidi"/>
          <w:sz w:val="24"/>
          <w:szCs w:val="24"/>
        </w:rPr>
        <w:t>:</w:t>
      </w:r>
      <w:r w:rsidR="00724D76" w:rsidRPr="00724D76">
        <w:rPr>
          <w:rFonts w:asciiTheme="majorBidi" w:hAnsiTheme="majorBidi" w:cstheme="majorBidi"/>
          <w:i/>
          <w:iCs/>
          <w:sz w:val="24"/>
          <w:szCs w:val="24"/>
        </w:rPr>
        <w:t xml:space="preserve"> </w:t>
      </w:r>
      <w:r w:rsidR="00724D76" w:rsidRPr="00724D76">
        <w:rPr>
          <w:rFonts w:asciiTheme="majorBidi" w:hAnsiTheme="majorBidi" w:cstheme="majorBidi"/>
          <w:iCs/>
          <w:sz w:val="24"/>
          <w:szCs w:val="24"/>
        </w:rPr>
        <w:t>Victorian Government Office of the Disability Services Commissioner</w:t>
      </w:r>
      <w:r w:rsidRPr="00E51FA9">
        <w:rPr>
          <w:rFonts w:asciiTheme="majorBidi" w:hAnsiTheme="majorBidi" w:cstheme="majorBidi"/>
          <w:sz w:val="24"/>
          <w:szCs w:val="24"/>
        </w:rPr>
        <w:t>.</w:t>
      </w:r>
    </w:p>
    <w:p w14:paraId="6C22DCE2" w14:textId="77777777" w:rsidR="00A44B87" w:rsidRPr="00E51FA9" w:rsidRDefault="00A44B87" w:rsidP="00B10D81">
      <w:pPr>
        <w:spacing w:after="60"/>
        <w:rPr>
          <w:rFonts w:asciiTheme="majorBidi" w:hAnsiTheme="majorBidi" w:cstheme="majorBidi"/>
          <w:sz w:val="24"/>
          <w:szCs w:val="24"/>
        </w:rPr>
      </w:pPr>
    </w:p>
    <w:p w14:paraId="1080B3AE" w14:textId="7DB4638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Disability Services Commissioner</w:t>
      </w:r>
      <w:r w:rsidR="00724D76">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2009</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724D76">
        <w:rPr>
          <w:rFonts w:asciiTheme="majorBidi" w:hAnsiTheme="majorBidi" w:cstheme="majorBidi"/>
          <w:i/>
          <w:sz w:val="24"/>
          <w:szCs w:val="24"/>
        </w:rPr>
        <w:t>Disability Service Commissioner Annual Report 2009</w:t>
      </w:r>
      <w:r w:rsidRPr="00E51FA9">
        <w:rPr>
          <w:rFonts w:asciiTheme="majorBidi" w:hAnsiTheme="majorBidi" w:cstheme="majorBidi"/>
          <w:sz w:val="24"/>
          <w:szCs w:val="24"/>
        </w:rPr>
        <w:t>.</w:t>
      </w:r>
      <w:r w:rsidR="00724D76">
        <w:rPr>
          <w:rFonts w:asciiTheme="majorBidi" w:hAnsiTheme="majorBidi" w:cstheme="majorBidi"/>
          <w:sz w:val="24"/>
          <w:szCs w:val="24"/>
        </w:rPr>
        <w:t xml:space="preserve"> </w:t>
      </w:r>
      <w:r w:rsidR="00724D76" w:rsidRPr="00E51FA9">
        <w:rPr>
          <w:rFonts w:asciiTheme="majorBidi" w:hAnsiTheme="majorBidi" w:cstheme="majorBidi"/>
          <w:sz w:val="24"/>
          <w:szCs w:val="24"/>
        </w:rPr>
        <w:t>Melbourne, Australia</w:t>
      </w:r>
      <w:r w:rsidR="00724D76">
        <w:rPr>
          <w:rFonts w:asciiTheme="majorBidi" w:hAnsiTheme="majorBidi" w:cstheme="majorBidi"/>
          <w:sz w:val="24"/>
          <w:szCs w:val="24"/>
        </w:rPr>
        <w:t>:</w:t>
      </w:r>
      <w:r w:rsidR="00724D76" w:rsidRPr="00724D76">
        <w:rPr>
          <w:rFonts w:asciiTheme="majorBidi" w:hAnsiTheme="majorBidi" w:cstheme="majorBidi"/>
          <w:i/>
          <w:iCs/>
          <w:sz w:val="24"/>
          <w:szCs w:val="24"/>
        </w:rPr>
        <w:t xml:space="preserve"> </w:t>
      </w:r>
      <w:r w:rsidR="00724D76" w:rsidRPr="00724D76">
        <w:rPr>
          <w:rFonts w:asciiTheme="majorBidi" w:hAnsiTheme="majorBidi" w:cstheme="majorBidi"/>
          <w:iCs/>
          <w:sz w:val="24"/>
          <w:szCs w:val="24"/>
        </w:rPr>
        <w:t>Victorian Government Office of the Disability Services Commissioner</w:t>
      </w:r>
      <w:r w:rsidR="00724D76" w:rsidRPr="00E51FA9">
        <w:rPr>
          <w:rFonts w:asciiTheme="majorBidi" w:hAnsiTheme="majorBidi" w:cstheme="majorBidi"/>
          <w:sz w:val="24"/>
          <w:szCs w:val="24"/>
        </w:rPr>
        <w:t>.</w:t>
      </w:r>
    </w:p>
    <w:p w14:paraId="3479CB24" w14:textId="77777777" w:rsidR="00A44B87" w:rsidRPr="00E51FA9" w:rsidRDefault="00A44B87" w:rsidP="00B10D81">
      <w:pPr>
        <w:spacing w:after="60"/>
        <w:rPr>
          <w:rFonts w:asciiTheme="majorBidi" w:hAnsiTheme="majorBidi" w:cstheme="majorBidi"/>
          <w:sz w:val="24"/>
          <w:szCs w:val="24"/>
        </w:rPr>
      </w:pPr>
    </w:p>
    <w:p w14:paraId="3F72EF02" w14:textId="7F19B648"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Disability Services Commissioner</w:t>
      </w:r>
      <w:r w:rsidR="00724D76">
        <w:rPr>
          <w:rFonts w:asciiTheme="majorBidi" w:hAnsiTheme="majorBidi" w:cstheme="majorBidi"/>
          <w:sz w:val="24"/>
          <w:szCs w:val="24"/>
        </w:rPr>
        <w:t>.</w:t>
      </w:r>
      <w:r w:rsidRPr="00E51FA9">
        <w:rPr>
          <w:rFonts w:asciiTheme="majorBidi" w:hAnsiTheme="majorBidi" w:cstheme="majorBidi"/>
          <w:sz w:val="24"/>
          <w:szCs w:val="24"/>
        </w:rPr>
        <w:t xml:space="preserve"> </w:t>
      </w:r>
      <w:r w:rsidR="00B10D81">
        <w:rPr>
          <w:rFonts w:asciiTheme="majorBidi" w:hAnsiTheme="majorBidi" w:cstheme="majorBidi"/>
          <w:sz w:val="24"/>
          <w:szCs w:val="24"/>
        </w:rPr>
        <w:t>(</w:t>
      </w:r>
      <w:r w:rsidRPr="00E51FA9">
        <w:rPr>
          <w:rFonts w:asciiTheme="majorBidi" w:hAnsiTheme="majorBidi" w:cstheme="majorBidi"/>
          <w:sz w:val="24"/>
          <w:szCs w:val="24"/>
        </w:rPr>
        <w:t>2010</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Pr="002B21A6">
        <w:rPr>
          <w:rFonts w:asciiTheme="majorBidi" w:hAnsiTheme="majorBidi" w:cstheme="majorBidi"/>
          <w:i/>
          <w:sz w:val="24"/>
          <w:szCs w:val="24"/>
        </w:rPr>
        <w:t>Disability Service Commissioner Annual Report 2010</w:t>
      </w:r>
      <w:r w:rsidR="002B21A6">
        <w:rPr>
          <w:rFonts w:asciiTheme="majorBidi" w:hAnsiTheme="majorBidi" w:cstheme="majorBidi"/>
          <w:i/>
          <w:sz w:val="24"/>
          <w:szCs w:val="24"/>
        </w:rPr>
        <w:t>.</w:t>
      </w:r>
      <w:r w:rsidRPr="00E51FA9">
        <w:rPr>
          <w:rFonts w:asciiTheme="majorBidi" w:hAnsiTheme="majorBidi" w:cstheme="majorBidi"/>
          <w:sz w:val="24"/>
          <w:szCs w:val="24"/>
        </w:rPr>
        <w:t xml:space="preserve"> </w:t>
      </w:r>
      <w:r w:rsidR="002B21A6" w:rsidRPr="00E51FA9">
        <w:rPr>
          <w:rFonts w:asciiTheme="majorBidi" w:hAnsiTheme="majorBidi" w:cstheme="majorBidi"/>
          <w:sz w:val="24"/>
          <w:szCs w:val="24"/>
        </w:rPr>
        <w:t>Melbourne, Australia</w:t>
      </w:r>
      <w:r w:rsidR="002B21A6">
        <w:rPr>
          <w:rFonts w:asciiTheme="majorBidi" w:hAnsiTheme="majorBidi" w:cstheme="majorBidi"/>
          <w:sz w:val="24"/>
          <w:szCs w:val="24"/>
        </w:rPr>
        <w:t>:</w:t>
      </w:r>
      <w:r w:rsidR="002B21A6" w:rsidRPr="00724D76">
        <w:rPr>
          <w:rFonts w:asciiTheme="majorBidi" w:hAnsiTheme="majorBidi" w:cstheme="majorBidi"/>
          <w:i/>
          <w:iCs/>
          <w:sz w:val="24"/>
          <w:szCs w:val="24"/>
        </w:rPr>
        <w:t xml:space="preserve"> </w:t>
      </w:r>
      <w:r w:rsidR="002B21A6" w:rsidRPr="00724D76">
        <w:rPr>
          <w:rFonts w:asciiTheme="majorBidi" w:hAnsiTheme="majorBidi" w:cstheme="majorBidi"/>
          <w:iCs/>
          <w:sz w:val="24"/>
          <w:szCs w:val="24"/>
        </w:rPr>
        <w:t>Victorian Government Office of the Disability Services Commissioner</w:t>
      </w:r>
      <w:r w:rsidRPr="00E51FA9">
        <w:rPr>
          <w:rFonts w:asciiTheme="majorBidi" w:hAnsiTheme="majorBidi" w:cstheme="majorBidi"/>
          <w:sz w:val="24"/>
          <w:szCs w:val="24"/>
        </w:rPr>
        <w:t>.</w:t>
      </w:r>
    </w:p>
    <w:p w14:paraId="3747EBC8" w14:textId="77777777" w:rsidR="00A44B87" w:rsidRPr="00E51FA9" w:rsidRDefault="00A44B87" w:rsidP="00B10D81">
      <w:pPr>
        <w:spacing w:after="60"/>
        <w:rPr>
          <w:rFonts w:asciiTheme="majorBidi" w:hAnsiTheme="majorBidi" w:cstheme="majorBidi"/>
          <w:sz w:val="24"/>
          <w:szCs w:val="24"/>
        </w:rPr>
      </w:pPr>
    </w:p>
    <w:p w14:paraId="5D2D1924" w14:textId="4A09FA86"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Disability Services Commissioner</w:t>
      </w:r>
      <w:r w:rsidR="00724D76">
        <w:rPr>
          <w:rFonts w:asciiTheme="majorBidi" w:hAnsiTheme="majorBidi" w:cstheme="majorBidi"/>
          <w:sz w:val="24"/>
          <w:szCs w:val="24"/>
        </w:rPr>
        <w:t>.</w:t>
      </w:r>
      <w:r w:rsidRPr="00E51FA9">
        <w:rPr>
          <w:rFonts w:asciiTheme="majorBidi" w:hAnsiTheme="majorBidi" w:cstheme="majorBidi"/>
          <w:sz w:val="24"/>
          <w:szCs w:val="24"/>
        </w:rPr>
        <w:t xml:space="preserve"> </w:t>
      </w:r>
      <w:r w:rsidR="00724D76">
        <w:rPr>
          <w:rFonts w:asciiTheme="majorBidi" w:hAnsiTheme="majorBidi" w:cstheme="majorBidi"/>
          <w:sz w:val="24"/>
          <w:szCs w:val="24"/>
        </w:rPr>
        <w:t>(</w:t>
      </w:r>
      <w:r w:rsidRPr="00E51FA9">
        <w:rPr>
          <w:rFonts w:asciiTheme="majorBidi" w:hAnsiTheme="majorBidi" w:cstheme="majorBidi"/>
          <w:sz w:val="24"/>
          <w:szCs w:val="24"/>
        </w:rPr>
        <w:t>2011</w:t>
      </w:r>
      <w:r w:rsidR="00724D76">
        <w:rPr>
          <w:rFonts w:asciiTheme="majorBidi" w:hAnsiTheme="majorBidi" w:cstheme="majorBidi"/>
          <w:sz w:val="24"/>
          <w:szCs w:val="24"/>
        </w:rPr>
        <w:t>)</w:t>
      </w:r>
      <w:r w:rsidR="0039445C">
        <w:rPr>
          <w:rFonts w:asciiTheme="majorBidi" w:hAnsiTheme="majorBidi" w:cstheme="majorBidi"/>
          <w:sz w:val="24"/>
          <w:szCs w:val="24"/>
        </w:rPr>
        <w:t>.</w:t>
      </w:r>
      <w:r w:rsidRPr="00E51FA9">
        <w:rPr>
          <w:rFonts w:asciiTheme="majorBidi" w:hAnsiTheme="majorBidi" w:cstheme="majorBidi"/>
          <w:sz w:val="24"/>
          <w:szCs w:val="24"/>
        </w:rPr>
        <w:t xml:space="preserve"> </w:t>
      </w:r>
      <w:r w:rsidRPr="0039445C">
        <w:rPr>
          <w:rFonts w:asciiTheme="majorBidi" w:hAnsiTheme="majorBidi" w:cstheme="majorBidi"/>
          <w:i/>
          <w:sz w:val="24"/>
          <w:szCs w:val="24"/>
        </w:rPr>
        <w:t>Disability Service Commissioner Annual Report 2011</w:t>
      </w:r>
      <w:r w:rsidR="00724D76">
        <w:rPr>
          <w:rFonts w:asciiTheme="majorBidi" w:hAnsiTheme="majorBidi" w:cstheme="majorBidi"/>
          <w:i/>
          <w:iCs/>
          <w:sz w:val="24"/>
          <w:szCs w:val="24"/>
        </w:rPr>
        <w:t>.</w:t>
      </w:r>
      <w:r w:rsidRPr="00E51FA9">
        <w:rPr>
          <w:rFonts w:asciiTheme="majorBidi" w:hAnsiTheme="majorBidi" w:cstheme="majorBidi"/>
          <w:sz w:val="24"/>
          <w:szCs w:val="24"/>
        </w:rPr>
        <w:t xml:space="preserve"> </w:t>
      </w:r>
      <w:r w:rsidR="000F7693" w:rsidRPr="00E51FA9">
        <w:rPr>
          <w:rFonts w:asciiTheme="majorBidi" w:hAnsiTheme="majorBidi" w:cstheme="majorBidi"/>
          <w:sz w:val="24"/>
          <w:szCs w:val="24"/>
        </w:rPr>
        <w:t>Melbourne, Australia</w:t>
      </w:r>
      <w:r w:rsidR="000F7693">
        <w:rPr>
          <w:rFonts w:asciiTheme="majorBidi" w:hAnsiTheme="majorBidi" w:cstheme="majorBidi"/>
          <w:sz w:val="24"/>
          <w:szCs w:val="24"/>
        </w:rPr>
        <w:t>:</w:t>
      </w:r>
      <w:r w:rsidR="000F7693" w:rsidRPr="00724D76">
        <w:rPr>
          <w:rFonts w:asciiTheme="majorBidi" w:hAnsiTheme="majorBidi" w:cstheme="majorBidi"/>
          <w:i/>
          <w:iCs/>
          <w:sz w:val="24"/>
          <w:szCs w:val="24"/>
        </w:rPr>
        <w:t xml:space="preserve"> </w:t>
      </w:r>
      <w:r w:rsidR="000F7693" w:rsidRPr="00724D76">
        <w:rPr>
          <w:rFonts w:asciiTheme="majorBidi" w:hAnsiTheme="majorBidi" w:cstheme="majorBidi"/>
          <w:iCs/>
          <w:sz w:val="24"/>
          <w:szCs w:val="24"/>
        </w:rPr>
        <w:t>Victorian Government Office of the Disability Services Commissioner</w:t>
      </w:r>
      <w:r w:rsidRPr="00E51FA9">
        <w:rPr>
          <w:rFonts w:asciiTheme="majorBidi" w:hAnsiTheme="majorBidi" w:cstheme="majorBidi"/>
          <w:sz w:val="24"/>
          <w:szCs w:val="24"/>
        </w:rPr>
        <w:t>.</w:t>
      </w:r>
    </w:p>
    <w:p w14:paraId="262A70D7" w14:textId="77777777" w:rsidR="00A44B87" w:rsidRPr="00E51FA9" w:rsidRDefault="00A44B87" w:rsidP="00B10D81">
      <w:pPr>
        <w:spacing w:after="60"/>
        <w:rPr>
          <w:rFonts w:asciiTheme="majorBidi" w:hAnsiTheme="majorBidi" w:cstheme="majorBidi"/>
          <w:iCs/>
          <w:sz w:val="24"/>
          <w:szCs w:val="24"/>
        </w:rPr>
      </w:pPr>
    </w:p>
    <w:p w14:paraId="4537BE20" w14:textId="77777777"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Doughty, A. H., &amp; Kane, L. M. (2010). Teaching abuse-protection skills to people with intellectual, disabilities: A review of the literature</w:t>
      </w:r>
      <w:r w:rsidRPr="00E51FA9">
        <w:rPr>
          <w:rFonts w:asciiTheme="majorBidi" w:hAnsiTheme="majorBidi" w:cstheme="majorBidi"/>
          <w:i/>
          <w:sz w:val="24"/>
          <w:szCs w:val="24"/>
        </w:rPr>
        <w:t>. Research in developmental disabilities, 31</w:t>
      </w:r>
      <w:r w:rsidRPr="00FD6865">
        <w:rPr>
          <w:rFonts w:asciiTheme="majorBidi" w:hAnsiTheme="majorBidi" w:cstheme="majorBidi"/>
          <w:sz w:val="24"/>
          <w:szCs w:val="24"/>
        </w:rPr>
        <w:t>(2),</w:t>
      </w:r>
      <w:r w:rsidRPr="00E51FA9">
        <w:rPr>
          <w:rFonts w:asciiTheme="majorBidi" w:hAnsiTheme="majorBidi" w:cstheme="majorBidi"/>
          <w:iCs/>
          <w:sz w:val="24"/>
          <w:szCs w:val="24"/>
        </w:rPr>
        <w:t xml:space="preserve"> 331-337.</w:t>
      </w:r>
    </w:p>
    <w:p w14:paraId="0685992F" w14:textId="77777777" w:rsidR="00A44B87" w:rsidRPr="00E51FA9" w:rsidRDefault="00A44B87" w:rsidP="00B10D81">
      <w:pPr>
        <w:spacing w:after="60"/>
        <w:rPr>
          <w:rFonts w:asciiTheme="majorBidi" w:hAnsiTheme="majorBidi" w:cstheme="majorBidi"/>
          <w:sz w:val="24"/>
          <w:szCs w:val="24"/>
          <w:lang w:eastAsia="en-AU" w:bidi="he-IL"/>
        </w:rPr>
      </w:pPr>
    </w:p>
    <w:p w14:paraId="4E526575" w14:textId="25D8C5E5" w:rsidR="00A44B87" w:rsidRPr="00460210" w:rsidRDefault="00A44B87" w:rsidP="00B10D81">
      <w:pPr>
        <w:spacing w:after="60"/>
        <w:rPr>
          <w:rFonts w:asciiTheme="majorBidi" w:hAnsiTheme="majorBidi" w:cstheme="majorBidi"/>
          <w:i/>
          <w:iCs/>
          <w:sz w:val="24"/>
          <w:szCs w:val="24"/>
          <w:lang w:eastAsia="en-AU" w:bidi="he-IL"/>
        </w:rPr>
      </w:pPr>
      <w:r w:rsidRPr="00E51FA9">
        <w:rPr>
          <w:rFonts w:asciiTheme="majorBidi" w:hAnsiTheme="majorBidi" w:cstheme="majorBidi"/>
          <w:sz w:val="24"/>
          <w:szCs w:val="24"/>
          <w:lang w:eastAsia="en-AU" w:bidi="he-IL"/>
        </w:rPr>
        <w:t xml:space="preserve">Dowse, L., Soldatic, K., Didi, A., Frohmader, C., &amp; </w:t>
      </w:r>
      <w:r w:rsidR="008514B2">
        <w:rPr>
          <w:rFonts w:asciiTheme="majorBidi" w:hAnsiTheme="majorBidi" w:cstheme="majorBidi"/>
          <w:sz w:val="24"/>
          <w:szCs w:val="24"/>
          <w:lang w:eastAsia="en-AU" w:bidi="he-IL"/>
        </w:rPr>
        <w:t xml:space="preserve">van </w:t>
      </w:r>
      <w:r w:rsidRPr="00E51FA9">
        <w:rPr>
          <w:rFonts w:asciiTheme="majorBidi" w:hAnsiTheme="majorBidi" w:cstheme="majorBidi"/>
          <w:sz w:val="24"/>
          <w:szCs w:val="24"/>
          <w:lang w:eastAsia="en-AU" w:bidi="he-IL"/>
        </w:rPr>
        <w:t>Toorn, G.</w:t>
      </w:r>
      <w:r w:rsidR="008514B2">
        <w:rPr>
          <w:rFonts w:asciiTheme="majorBidi" w:hAnsiTheme="majorBidi" w:cstheme="majorBidi"/>
          <w:sz w:val="24"/>
          <w:szCs w:val="24"/>
          <w:lang w:eastAsia="en-AU" w:bidi="he-IL"/>
        </w:rPr>
        <w:t xml:space="preserve"> </w:t>
      </w:r>
      <w:r w:rsidRPr="00E51FA9">
        <w:rPr>
          <w:rFonts w:asciiTheme="majorBidi" w:hAnsiTheme="majorBidi" w:cstheme="majorBidi"/>
          <w:sz w:val="24"/>
          <w:szCs w:val="24"/>
          <w:lang w:eastAsia="en-AU" w:bidi="he-IL"/>
        </w:rPr>
        <w:t xml:space="preserve">(2013). </w:t>
      </w:r>
      <w:r w:rsidRPr="00FD6865">
        <w:rPr>
          <w:rFonts w:asciiTheme="majorBidi" w:hAnsiTheme="majorBidi" w:cstheme="majorBidi"/>
          <w:i/>
          <w:sz w:val="24"/>
          <w:szCs w:val="24"/>
          <w:lang w:eastAsia="en-AU" w:bidi="he-IL"/>
        </w:rPr>
        <w:t xml:space="preserve">Stop the Violence: Addressing Violence Against Women and Girls </w:t>
      </w:r>
      <w:r w:rsidR="00861FCE" w:rsidRPr="00FD6865">
        <w:rPr>
          <w:rFonts w:asciiTheme="majorBidi" w:hAnsiTheme="majorBidi" w:cstheme="majorBidi"/>
          <w:i/>
          <w:sz w:val="24"/>
          <w:szCs w:val="24"/>
          <w:lang w:eastAsia="en-AU" w:bidi="he-IL"/>
        </w:rPr>
        <w:t>with</w:t>
      </w:r>
      <w:r w:rsidRPr="00FD6865">
        <w:rPr>
          <w:rFonts w:asciiTheme="majorBidi" w:hAnsiTheme="majorBidi" w:cstheme="majorBidi"/>
          <w:i/>
          <w:sz w:val="24"/>
          <w:szCs w:val="24"/>
          <w:lang w:eastAsia="en-AU" w:bidi="he-IL"/>
        </w:rPr>
        <w:t xml:space="preserve"> Disabilities in Australia: Background paper</w:t>
      </w:r>
      <w:r w:rsidRPr="00E51FA9">
        <w:rPr>
          <w:rFonts w:asciiTheme="majorBidi" w:hAnsiTheme="majorBidi" w:cstheme="majorBidi"/>
          <w:i/>
          <w:iCs/>
          <w:sz w:val="24"/>
          <w:szCs w:val="24"/>
          <w:lang w:eastAsia="en-AU" w:bidi="he-IL"/>
        </w:rPr>
        <w:t>.</w:t>
      </w:r>
      <w:r w:rsidR="008514B2">
        <w:rPr>
          <w:rFonts w:asciiTheme="majorBidi" w:hAnsiTheme="majorBidi" w:cstheme="majorBidi"/>
          <w:i/>
          <w:iCs/>
          <w:sz w:val="24"/>
          <w:szCs w:val="24"/>
          <w:lang w:eastAsia="en-AU" w:bidi="he-IL"/>
        </w:rPr>
        <w:t xml:space="preserve"> </w:t>
      </w:r>
      <w:r w:rsidR="00861FCE">
        <w:rPr>
          <w:rFonts w:asciiTheme="majorBidi" w:hAnsiTheme="majorBidi" w:cstheme="majorBidi"/>
          <w:iCs/>
          <w:sz w:val="24"/>
          <w:szCs w:val="24"/>
          <w:lang w:eastAsia="en-AU" w:bidi="he-IL"/>
        </w:rPr>
        <w:t>Retrieved</w:t>
      </w:r>
      <w:r w:rsidR="008514B2">
        <w:rPr>
          <w:rFonts w:asciiTheme="majorBidi" w:hAnsiTheme="majorBidi" w:cstheme="majorBidi"/>
          <w:iCs/>
          <w:sz w:val="24"/>
          <w:szCs w:val="24"/>
          <w:lang w:eastAsia="en-AU" w:bidi="he-IL"/>
        </w:rPr>
        <w:t xml:space="preserve"> from </w:t>
      </w:r>
      <w:hyperlink r:id="rId30" w:history="1">
        <w:r w:rsidR="000F7693" w:rsidRPr="00C64B1F">
          <w:rPr>
            <w:rStyle w:val="Hyperlink"/>
            <w:rFonts w:asciiTheme="majorBidi" w:hAnsiTheme="majorBidi" w:cstheme="majorBidi"/>
            <w:iCs/>
            <w:color w:val="auto"/>
            <w:sz w:val="24"/>
            <w:szCs w:val="24"/>
            <w:u w:val="none"/>
            <w:lang w:eastAsia="en-AU" w:bidi="he-IL"/>
          </w:rPr>
          <w:t>http://wwda.org.au/wp-content/uploads/2013/12/STV_Background_Paper_FINAL.pdf</w:t>
        </w:r>
      </w:hyperlink>
      <w:r w:rsidR="000F7693" w:rsidRPr="00460210">
        <w:rPr>
          <w:rFonts w:asciiTheme="majorBidi" w:hAnsiTheme="majorBidi" w:cstheme="majorBidi"/>
          <w:iCs/>
          <w:sz w:val="24"/>
          <w:szCs w:val="24"/>
          <w:lang w:eastAsia="en-AU" w:bidi="he-IL"/>
        </w:rPr>
        <w:t xml:space="preserve"> </w:t>
      </w:r>
    </w:p>
    <w:p w14:paraId="4A0B1AFC" w14:textId="77777777" w:rsidR="00A44B87" w:rsidRPr="00460210" w:rsidRDefault="00A44B87" w:rsidP="00B10D81">
      <w:pPr>
        <w:spacing w:after="60"/>
        <w:rPr>
          <w:rFonts w:asciiTheme="majorBidi" w:hAnsiTheme="majorBidi" w:cstheme="majorBidi"/>
          <w:iCs/>
          <w:sz w:val="24"/>
          <w:szCs w:val="24"/>
        </w:rPr>
      </w:pPr>
    </w:p>
    <w:p w14:paraId="27171B74" w14:textId="15BDE2B5"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Egemo</w:t>
      </w:r>
      <w:r w:rsidRPr="00E51FA9">
        <w:rPr>
          <w:rFonts w:ascii="Calibri" w:eastAsia="Calibri" w:hAnsi="Calibri" w:cs="Calibri"/>
          <w:iCs/>
          <w:sz w:val="24"/>
          <w:szCs w:val="24"/>
        </w:rPr>
        <w:t>‐</w:t>
      </w:r>
      <w:r w:rsidRPr="00E51FA9">
        <w:rPr>
          <w:rFonts w:asciiTheme="majorBidi" w:hAnsiTheme="majorBidi" w:cstheme="majorBidi"/>
          <w:iCs/>
          <w:sz w:val="24"/>
          <w:szCs w:val="24"/>
        </w:rPr>
        <w:t xml:space="preserve">Helm, K. R., Miltenberger, R. G., Knudson, P., Finstrom, N., Jostad, C., &amp; Johnson, B. (2007). An evaluation of </w:t>
      </w:r>
      <w:r w:rsidR="0019074D">
        <w:rPr>
          <w:rFonts w:asciiTheme="majorBidi" w:hAnsiTheme="majorBidi" w:cstheme="majorBidi"/>
          <w:iCs/>
          <w:sz w:val="24"/>
          <w:szCs w:val="24"/>
        </w:rPr>
        <w:t>in-situ</w:t>
      </w:r>
      <w:r w:rsidRPr="00E51FA9">
        <w:rPr>
          <w:rFonts w:asciiTheme="majorBidi" w:hAnsiTheme="majorBidi" w:cstheme="majorBidi"/>
          <w:iCs/>
          <w:sz w:val="24"/>
          <w:szCs w:val="24"/>
        </w:rPr>
        <w:t xml:space="preserve"> training to teach sexual abuse prevention skills to women with mental retardation. </w:t>
      </w:r>
      <w:r w:rsidRPr="00E51FA9">
        <w:rPr>
          <w:rFonts w:asciiTheme="majorBidi" w:hAnsiTheme="majorBidi" w:cstheme="majorBidi"/>
          <w:i/>
          <w:sz w:val="24"/>
          <w:szCs w:val="24"/>
        </w:rPr>
        <w:t>Behavioral Interventions, 22</w:t>
      </w:r>
      <w:r w:rsidRPr="00FD6865">
        <w:rPr>
          <w:rFonts w:asciiTheme="majorBidi" w:hAnsiTheme="majorBidi" w:cstheme="majorBidi"/>
          <w:sz w:val="24"/>
          <w:szCs w:val="24"/>
        </w:rPr>
        <w:t>(2)</w:t>
      </w:r>
      <w:r w:rsidRPr="008514B2">
        <w:rPr>
          <w:rFonts w:asciiTheme="majorBidi" w:hAnsiTheme="majorBidi" w:cstheme="majorBidi"/>
          <w:iCs/>
          <w:sz w:val="24"/>
          <w:szCs w:val="24"/>
        </w:rPr>
        <w:t xml:space="preserve">, </w:t>
      </w:r>
      <w:r w:rsidRPr="00E51FA9">
        <w:rPr>
          <w:rFonts w:asciiTheme="majorBidi" w:hAnsiTheme="majorBidi" w:cstheme="majorBidi"/>
          <w:iCs/>
          <w:sz w:val="24"/>
          <w:szCs w:val="24"/>
        </w:rPr>
        <w:t>99-119.</w:t>
      </w:r>
    </w:p>
    <w:p w14:paraId="3C84E5D1" w14:textId="77777777" w:rsidR="00A44B87" w:rsidRPr="00E51FA9" w:rsidRDefault="00A44B87" w:rsidP="00B10D81">
      <w:pPr>
        <w:spacing w:after="60"/>
        <w:rPr>
          <w:rFonts w:asciiTheme="majorBidi" w:hAnsiTheme="majorBidi" w:cstheme="majorBidi"/>
          <w:sz w:val="24"/>
          <w:szCs w:val="24"/>
        </w:rPr>
      </w:pPr>
    </w:p>
    <w:p w14:paraId="51715100"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Fawcett, B. (2009). Vulnerability: questioning the certainties in social work and health. </w:t>
      </w:r>
      <w:r w:rsidRPr="00E51FA9">
        <w:rPr>
          <w:rFonts w:asciiTheme="majorBidi" w:hAnsiTheme="majorBidi" w:cstheme="majorBidi"/>
          <w:i/>
          <w:iCs/>
          <w:sz w:val="24"/>
          <w:szCs w:val="24"/>
        </w:rPr>
        <w:t>International Social Work, 52</w:t>
      </w:r>
      <w:r w:rsidRPr="00FD6865">
        <w:rPr>
          <w:rFonts w:asciiTheme="majorBidi" w:hAnsiTheme="majorBidi" w:cstheme="majorBidi"/>
          <w:iCs/>
          <w:sz w:val="24"/>
          <w:szCs w:val="24"/>
        </w:rPr>
        <w:t>(4)</w:t>
      </w:r>
      <w:r w:rsidRPr="008514B2">
        <w:rPr>
          <w:rFonts w:asciiTheme="majorBidi" w:hAnsiTheme="majorBidi" w:cstheme="majorBidi"/>
          <w:sz w:val="24"/>
          <w:szCs w:val="24"/>
        </w:rPr>
        <w:t xml:space="preserve">, </w:t>
      </w:r>
      <w:r w:rsidRPr="00E51FA9">
        <w:rPr>
          <w:rFonts w:asciiTheme="majorBidi" w:hAnsiTheme="majorBidi" w:cstheme="majorBidi"/>
          <w:sz w:val="24"/>
          <w:szCs w:val="24"/>
        </w:rPr>
        <w:t>473-484.</w:t>
      </w:r>
    </w:p>
    <w:p w14:paraId="033D512F" w14:textId="77777777" w:rsidR="00A44B87" w:rsidRPr="00E51FA9" w:rsidRDefault="00A44B87" w:rsidP="00B10D81">
      <w:pPr>
        <w:spacing w:after="60"/>
        <w:rPr>
          <w:rFonts w:asciiTheme="majorBidi" w:hAnsiTheme="majorBidi" w:cstheme="majorBidi"/>
          <w:sz w:val="24"/>
          <w:szCs w:val="24"/>
        </w:rPr>
      </w:pPr>
    </w:p>
    <w:p w14:paraId="28C330DC" w14:textId="799C2081" w:rsidR="008514B2" w:rsidRDefault="00427784" w:rsidP="00B10D81">
      <w:pPr>
        <w:spacing w:after="60"/>
        <w:rPr>
          <w:rFonts w:asciiTheme="majorBidi" w:hAnsiTheme="majorBidi" w:cstheme="majorBidi"/>
          <w:sz w:val="24"/>
          <w:szCs w:val="24"/>
          <w:lang w:eastAsia="en-AU" w:bidi="he-IL"/>
        </w:rPr>
      </w:pPr>
      <w:r w:rsidRPr="00427784">
        <w:rPr>
          <w:rFonts w:asciiTheme="majorBidi" w:hAnsiTheme="majorBidi" w:cstheme="majorBidi"/>
          <w:sz w:val="24"/>
          <w:szCs w:val="24"/>
          <w:lang w:eastAsia="en-AU" w:bidi="he-IL"/>
        </w:rPr>
        <w:t>Felce</w:t>
      </w:r>
      <w:r>
        <w:rPr>
          <w:rFonts w:asciiTheme="majorBidi" w:hAnsiTheme="majorBidi" w:cstheme="majorBidi"/>
          <w:sz w:val="24"/>
          <w:szCs w:val="24"/>
          <w:lang w:eastAsia="en-AU" w:bidi="he-IL"/>
        </w:rPr>
        <w:t>,</w:t>
      </w:r>
      <w:r w:rsidRPr="00427784">
        <w:rPr>
          <w:rFonts w:asciiTheme="majorBidi" w:hAnsiTheme="majorBidi" w:cstheme="majorBidi"/>
          <w:sz w:val="24"/>
          <w:szCs w:val="24"/>
          <w:lang w:eastAsia="en-AU" w:bidi="he-IL"/>
        </w:rPr>
        <w:t xml:space="preserve"> D., Lowe</w:t>
      </w:r>
      <w:r>
        <w:rPr>
          <w:rFonts w:asciiTheme="majorBidi" w:hAnsiTheme="majorBidi" w:cstheme="majorBidi"/>
          <w:sz w:val="24"/>
          <w:szCs w:val="24"/>
          <w:lang w:eastAsia="en-AU" w:bidi="he-IL"/>
        </w:rPr>
        <w:t>,</w:t>
      </w:r>
      <w:r w:rsidRPr="00427784">
        <w:rPr>
          <w:rFonts w:asciiTheme="majorBidi" w:hAnsiTheme="majorBidi" w:cstheme="majorBidi"/>
          <w:sz w:val="24"/>
          <w:szCs w:val="24"/>
          <w:lang w:eastAsia="en-AU" w:bidi="he-IL"/>
        </w:rPr>
        <w:t xml:space="preserve"> K. &amp; Jones</w:t>
      </w:r>
      <w:r>
        <w:rPr>
          <w:rFonts w:asciiTheme="majorBidi" w:hAnsiTheme="majorBidi" w:cstheme="majorBidi"/>
          <w:sz w:val="24"/>
          <w:szCs w:val="24"/>
          <w:lang w:eastAsia="en-AU" w:bidi="he-IL"/>
        </w:rPr>
        <w:t>,</w:t>
      </w:r>
      <w:r w:rsidRPr="00427784">
        <w:rPr>
          <w:rFonts w:asciiTheme="majorBidi" w:hAnsiTheme="majorBidi" w:cstheme="majorBidi"/>
          <w:sz w:val="24"/>
          <w:szCs w:val="24"/>
          <w:lang w:eastAsia="en-AU" w:bidi="he-IL"/>
        </w:rPr>
        <w:t xml:space="preserve"> E. (2002)</w:t>
      </w:r>
      <w:r>
        <w:rPr>
          <w:rFonts w:asciiTheme="majorBidi" w:hAnsiTheme="majorBidi" w:cstheme="majorBidi"/>
          <w:sz w:val="24"/>
          <w:szCs w:val="24"/>
          <w:lang w:eastAsia="en-AU" w:bidi="he-IL"/>
        </w:rPr>
        <w:t>.</w:t>
      </w:r>
      <w:r w:rsidRPr="00427784">
        <w:rPr>
          <w:rFonts w:asciiTheme="majorBidi" w:hAnsiTheme="majorBidi" w:cstheme="majorBidi"/>
          <w:sz w:val="24"/>
          <w:szCs w:val="24"/>
          <w:lang w:eastAsia="en-AU" w:bidi="he-IL"/>
        </w:rPr>
        <w:t xml:space="preserve"> Staff activity in supported housing services. </w:t>
      </w:r>
      <w:r w:rsidRPr="00705555">
        <w:rPr>
          <w:rFonts w:asciiTheme="majorBidi" w:hAnsiTheme="majorBidi" w:cstheme="majorBidi"/>
          <w:i/>
          <w:sz w:val="24"/>
          <w:szCs w:val="24"/>
          <w:lang w:eastAsia="en-AU" w:bidi="he-IL"/>
        </w:rPr>
        <w:t>Journal of Applied Research in Intellectual Disabilities, 15</w:t>
      </w:r>
      <w:r>
        <w:rPr>
          <w:rFonts w:asciiTheme="majorBidi" w:hAnsiTheme="majorBidi" w:cstheme="majorBidi"/>
          <w:sz w:val="24"/>
          <w:szCs w:val="24"/>
          <w:lang w:eastAsia="en-AU" w:bidi="he-IL"/>
        </w:rPr>
        <w:t>(4)</w:t>
      </w:r>
      <w:r w:rsidRPr="00427784">
        <w:rPr>
          <w:rFonts w:asciiTheme="majorBidi" w:hAnsiTheme="majorBidi" w:cstheme="majorBidi"/>
          <w:sz w:val="24"/>
          <w:szCs w:val="24"/>
          <w:lang w:eastAsia="en-AU" w:bidi="he-IL"/>
        </w:rPr>
        <w:t>, 388–403.</w:t>
      </w:r>
      <w:r w:rsidR="00705555">
        <w:rPr>
          <w:rFonts w:asciiTheme="majorBidi" w:hAnsiTheme="majorBidi" w:cstheme="majorBidi"/>
          <w:sz w:val="24"/>
          <w:szCs w:val="24"/>
          <w:lang w:eastAsia="en-AU" w:bidi="he-IL"/>
        </w:rPr>
        <w:t xml:space="preserve"> Doi: 10.1046/j.1468-3148.2002.00130.x</w:t>
      </w:r>
    </w:p>
    <w:p w14:paraId="766DE29B" w14:textId="77777777" w:rsidR="00427784" w:rsidRDefault="00427784" w:rsidP="00B10D81">
      <w:pPr>
        <w:spacing w:after="60"/>
        <w:rPr>
          <w:rFonts w:asciiTheme="majorBidi" w:hAnsiTheme="majorBidi" w:cstheme="majorBidi"/>
          <w:sz w:val="24"/>
          <w:szCs w:val="24"/>
          <w:lang w:eastAsia="en-AU" w:bidi="he-IL"/>
        </w:rPr>
      </w:pPr>
    </w:p>
    <w:p w14:paraId="626025EE" w14:textId="3DC77AEA"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Fisher, M. H., Baird, J. V., Currey, A. D., &amp; Hodapp, R. M. (2016). Victimisation and social vulnerability of adults with intellectual disability: a review of research extending beyond Wilson and Brewer. </w:t>
      </w:r>
      <w:r w:rsidRPr="00E51FA9">
        <w:rPr>
          <w:rFonts w:asciiTheme="majorBidi" w:hAnsiTheme="majorBidi" w:cstheme="majorBidi"/>
          <w:i/>
          <w:iCs/>
          <w:sz w:val="24"/>
          <w:szCs w:val="24"/>
          <w:lang w:eastAsia="en-AU" w:bidi="he-IL"/>
        </w:rPr>
        <w:t>Australian Psychologist, 51</w:t>
      </w:r>
      <w:r w:rsidRPr="006117CF">
        <w:rPr>
          <w:rFonts w:asciiTheme="majorBidi" w:hAnsiTheme="majorBidi" w:cstheme="majorBidi"/>
          <w:iCs/>
          <w:sz w:val="24"/>
          <w:szCs w:val="24"/>
          <w:lang w:eastAsia="en-AU" w:bidi="he-IL"/>
        </w:rPr>
        <w:t>(2),</w:t>
      </w:r>
      <w:r w:rsidRPr="00E51FA9">
        <w:rPr>
          <w:rFonts w:asciiTheme="majorBidi" w:hAnsiTheme="majorBidi" w:cstheme="majorBidi"/>
          <w:sz w:val="24"/>
          <w:szCs w:val="24"/>
          <w:lang w:eastAsia="en-AU" w:bidi="he-IL"/>
        </w:rPr>
        <w:t xml:space="preserve"> 114-127.</w:t>
      </w:r>
    </w:p>
    <w:p w14:paraId="1D9BFB99" w14:textId="77777777" w:rsidR="00A44B87" w:rsidRPr="00E51FA9" w:rsidRDefault="00A44B87" w:rsidP="00B10D81">
      <w:pPr>
        <w:spacing w:after="60"/>
        <w:rPr>
          <w:rFonts w:asciiTheme="majorBidi" w:hAnsiTheme="majorBidi" w:cstheme="majorBidi"/>
          <w:sz w:val="24"/>
          <w:szCs w:val="24"/>
        </w:rPr>
      </w:pPr>
    </w:p>
    <w:p w14:paraId="040FE8CA" w14:textId="32CA8366"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Fitzsimons, N. M. (2017). Partnering with People with Disabilities to Prevent Interpersonal Violence: Organization Practices Grounded in the Social Model of Disability and Spectrum of Prevention. </w:t>
      </w:r>
      <w:r w:rsidRPr="00FD6865">
        <w:rPr>
          <w:rFonts w:asciiTheme="majorBidi" w:hAnsiTheme="majorBidi" w:cstheme="majorBidi"/>
          <w:iCs/>
          <w:sz w:val="24"/>
          <w:szCs w:val="24"/>
        </w:rPr>
        <w:t>In</w:t>
      </w:r>
      <w:r w:rsidR="00210E32">
        <w:rPr>
          <w:rFonts w:asciiTheme="majorBidi" w:hAnsiTheme="majorBidi" w:cstheme="majorBidi"/>
          <w:iCs/>
          <w:sz w:val="24"/>
          <w:szCs w:val="24"/>
        </w:rPr>
        <w:t xml:space="preserve"> A. J. Johnson, J. R. Nelson &amp; E. M. Lund (Eds.),</w:t>
      </w:r>
      <w:r w:rsidRPr="00FD6865">
        <w:rPr>
          <w:rFonts w:asciiTheme="majorBidi" w:hAnsiTheme="majorBidi" w:cstheme="majorBidi"/>
          <w:iCs/>
          <w:sz w:val="24"/>
          <w:szCs w:val="24"/>
        </w:rPr>
        <w:t xml:space="preserve"> </w:t>
      </w:r>
      <w:r w:rsidRPr="00E51FA9">
        <w:rPr>
          <w:rFonts w:asciiTheme="majorBidi" w:hAnsiTheme="majorBidi" w:cstheme="majorBidi"/>
          <w:i/>
          <w:iCs/>
          <w:sz w:val="24"/>
          <w:szCs w:val="24"/>
        </w:rPr>
        <w:t>Religion, Disability, and Interpersonal Violence (pp. 45-65).</w:t>
      </w:r>
      <w:r w:rsidRPr="00E51FA9">
        <w:rPr>
          <w:rFonts w:asciiTheme="majorBidi" w:hAnsiTheme="majorBidi" w:cstheme="majorBidi"/>
          <w:sz w:val="24"/>
          <w:szCs w:val="24"/>
        </w:rPr>
        <w:t xml:space="preserve"> </w:t>
      </w:r>
      <w:r w:rsidR="008A392C">
        <w:rPr>
          <w:rFonts w:asciiTheme="majorBidi" w:hAnsiTheme="majorBidi" w:cstheme="majorBidi"/>
          <w:sz w:val="24"/>
          <w:szCs w:val="24"/>
        </w:rPr>
        <w:t xml:space="preserve">Cham, </w:t>
      </w:r>
      <w:proofErr w:type="spellStart"/>
      <w:r w:rsidR="008A392C">
        <w:rPr>
          <w:rFonts w:asciiTheme="majorBidi" w:hAnsiTheme="majorBidi" w:cstheme="majorBidi"/>
          <w:sz w:val="24"/>
          <w:szCs w:val="24"/>
        </w:rPr>
        <w:t>Switerland</w:t>
      </w:r>
      <w:proofErr w:type="spellEnd"/>
      <w:r w:rsidR="008A392C">
        <w:rPr>
          <w:rFonts w:asciiTheme="majorBidi" w:hAnsiTheme="majorBidi" w:cstheme="majorBidi"/>
          <w:sz w:val="24"/>
          <w:szCs w:val="24"/>
        </w:rPr>
        <w:t xml:space="preserve">: </w:t>
      </w:r>
      <w:r w:rsidRPr="00E51FA9">
        <w:rPr>
          <w:rFonts w:asciiTheme="majorBidi" w:hAnsiTheme="majorBidi" w:cstheme="majorBidi"/>
          <w:sz w:val="24"/>
          <w:szCs w:val="24"/>
        </w:rPr>
        <w:t>Springer.</w:t>
      </w:r>
    </w:p>
    <w:p w14:paraId="71623671" w14:textId="77777777" w:rsidR="00A44B87" w:rsidRPr="00E51FA9" w:rsidRDefault="00A44B87" w:rsidP="00B10D81">
      <w:pPr>
        <w:spacing w:after="60"/>
        <w:rPr>
          <w:rFonts w:asciiTheme="majorBidi" w:hAnsiTheme="majorBidi" w:cstheme="majorBidi"/>
          <w:sz w:val="24"/>
          <w:szCs w:val="24"/>
        </w:rPr>
      </w:pPr>
    </w:p>
    <w:p w14:paraId="5FCF7B92" w14:textId="1B318215"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Gilson S. F., DePoy E., </w:t>
      </w:r>
      <w:r w:rsidR="00ED2677">
        <w:rPr>
          <w:rFonts w:asciiTheme="majorBidi" w:hAnsiTheme="majorBidi" w:cstheme="majorBidi"/>
          <w:sz w:val="24"/>
          <w:szCs w:val="24"/>
        </w:rPr>
        <w:t xml:space="preserve">&amp; </w:t>
      </w:r>
      <w:r w:rsidRPr="00E51FA9">
        <w:rPr>
          <w:rFonts w:asciiTheme="majorBidi" w:hAnsiTheme="majorBidi" w:cstheme="majorBidi"/>
          <w:sz w:val="24"/>
          <w:szCs w:val="24"/>
        </w:rPr>
        <w:t xml:space="preserve">Cramer E. P. (2001). Linking the assessment of self-reported functional capacity with abuse experiences of women with disabilities. </w:t>
      </w:r>
      <w:r w:rsidRPr="00E51FA9">
        <w:rPr>
          <w:rFonts w:asciiTheme="majorBidi" w:hAnsiTheme="majorBidi" w:cstheme="majorBidi"/>
          <w:i/>
          <w:iCs/>
          <w:sz w:val="24"/>
          <w:szCs w:val="24"/>
        </w:rPr>
        <w:t>Violence Against Women, 7</w:t>
      </w:r>
      <w:r w:rsidRPr="00E51FA9">
        <w:rPr>
          <w:rFonts w:asciiTheme="majorBidi" w:hAnsiTheme="majorBidi" w:cstheme="majorBidi"/>
          <w:sz w:val="24"/>
          <w:szCs w:val="24"/>
        </w:rPr>
        <w:t>, 418–431.</w:t>
      </w:r>
    </w:p>
    <w:p w14:paraId="35C466E2" w14:textId="77777777" w:rsidR="00A44B87" w:rsidRPr="00E51FA9" w:rsidRDefault="00A44B87" w:rsidP="00B10D81">
      <w:pPr>
        <w:spacing w:after="60"/>
        <w:rPr>
          <w:rFonts w:asciiTheme="majorBidi" w:hAnsiTheme="majorBidi" w:cstheme="majorBidi"/>
          <w:sz w:val="24"/>
          <w:szCs w:val="24"/>
        </w:rPr>
      </w:pPr>
    </w:p>
    <w:p w14:paraId="47C69FA1" w14:textId="43CEE03D" w:rsidR="00A44B87"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Goggin, G., &amp; Newell, C. (2005). </w:t>
      </w:r>
      <w:r w:rsidRPr="00E51FA9">
        <w:rPr>
          <w:rFonts w:asciiTheme="majorBidi" w:hAnsiTheme="majorBidi" w:cstheme="majorBidi"/>
          <w:i/>
          <w:iCs/>
          <w:sz w:val="24"/>
          <w:szCs w:val="24"/>
        </w:rPr>
        <w:t xml:space="preserve">Disability in Australia: </w:t>
      </w:r>
      <w:r w:rsidR="00ED2677">
        <w:rPr>
          <w:rFonts w:asciiTheme="majorBidi" w:hAnsiTheme="majorBidi" w:cstheme="majorBidi"/>
          <w:i/>
          <w:iCs/>
          <w:sz w:val="24"/>
          <w:szCs w:val="24"/>
        </w:rPr>
        <w:t>E</w:t>
      </w:r>
      <w:r w:rsidRPr="00E51FA9">
        <w:rPr>
          <w:rFonts w:asciiTheme="majorBidi" w:hAnsiTheme="majorBidi" w:cstheme="majorBidi"/>
          <w:i/>
          <w:iCs/>
          <w:sz w:val="24"/>
          <w:szCs w:val="24"/>
        </w:rPr>
        <w:t>xposing a social apartheid</w:t>
      </w:r>
      <w:r w:rsidRPr="00E51FA9">
        <w:rPr>
          <w:rFonts w:asciiTheme="majorBidi" w:hAnsiTheme="majorBidi" w:cstheme="majorBidi"/>
          <w:sz w:val="24"/>
          <w:szCs w:val="24"/>
        </w:rPr>
        <w:t>. Sydney</w:t>
      </w:r>
      <w:r w:rsidR="008A392C">
        <w:rPr>
          <w:rFonts w:asciiTheme="majorBidi" w:hAnsiTheme="majorBidi" w:cstheme="majorBidi"/>
          <w:sz w:val="24"/>
          <w:szCs w:val="24"/>
        </w:rPr>
        <w:t>, Australia</w:t>
      </w:r>
      <w:r w:rsidRPr="00E51FA9">
        <w:rPr>
          <w:rFonts w:asciiTheme="majorBidi" w:hAnsiTheme="majorBidi" w:cstheme="majorBidi"/>
          <w:sz w:val="24"/>
          <w:szCs w:val="24"/>
        </w:rPr>
        <w:t>: UNSW Press.</w:t>
      </w:r>
    </w:p>
    <w:p w14:paraId="365B55D2" w14:textId="77777777" w:rsidR="001639B5" w:rsidRPr="00E51FA9" w:rsidRDefault="001639B5" w:rsidP="00B10D81">
      <w:pPr>
        <w:spacing w:after="60"/>
        <w:rPr>
          <w:rFonts w:asciiTheme="majorBidi" w:hAnsiTheme="majorBidi" w:cstheme="majorBidi"/>
          <w:sz w:val="24"/>
          <w:szCs w:val="24"/>
        </w:rPr>
      </w:pPr>
    </w:p>
    <w:p w14:paraId="29E6C20D" w14:textId="77777777" w:rsidR="00A44B87" w:rsidRPr="00E51FA9" w:rsidRDefault="00A44B87" w:rsidP="00B10D81">
      <w:pPr>
        <w:spacing w:after="60"/>
        <w:rPr>
          <w:rFonts w:asciiTheme="majorBidi" w:hAnsiTheme="majorBidi" w:cstheme="majorBidi"/>
          <w:i/>
          <w:iCs/>
          <w:sz w:val="24"/>
          <w:szCs w:val="24"/>
          <w:lang w:eastAsia="en-AU" w:bidi="he-IL"/>
        </w:rPr>
      </w:pPr>
      <w:r w:rsidRPr="00E51FA9">
        <w:rPr>
          <w:rFonts w:asciiTheme="majorBidi" w:hAnsiTheme="majorBidi" w:cstheme="majorBidi"/>
          <w:sz w:val="24"/>
          <w:szCs w:val="24"/>
          <w:lang w:eastAsia="en-AU" w:bidi="he-IL"/>
        </w:rPr>
        <w:t xml:space="preserve">Gray-Stanley, J. A., &amp; Muramatsu, N. (2011). Work stress, burnout, and social and personal resources among direct care workers. </w:t>
      </w:r>
      <w:r w:rsidRPr="00E51FA9">
        <w:rPr>
          <w:rFonts w:asciiTheme="majorBidi" w:hAnsiTheme="majorBidi" w:cstheme="majorBidi"/>
          <w:i/>
          <w:iCs/>
          <w:sz w:val="24"/>
          <w:szCs w:val="24"/>
          <w:lang w:eastAsia="en-AU" w:bidi="he-IL"/>
        </w:rPr>
        <w:t>Research in developmental disabilities, 32</w:t>
      </w:r>
      <w:r w:rsidRPr="006117CF">
        <w:rPr>
          <w:rFonts w:asciiTheme="majorBidi" w:hAnsiTheme="majorBidi" w:cstheme="majorBidi"/>
          <w:iCs/>
          <w:sz w:val="24"/>
          <w:szCs w:val="24"/>
          <w:lang w:eastAsia="en-AU" w:bidi="he-IL"/>
        </w:rPr>
        <w:t>(3),</w:t>
      </w:r>
      <w:r w:rsidRPr="00E51FA9">
        <w:rPr>
          <w:rFonts w:asciiTheme="majorBidi" w:hAnsiTheme="majorBidi" w:cstheme="majorBidi"/>
          <w:sz w:val="24"/>
          <w:szCs w:val="24"/>
          <w:lang w:eastAsia="en-AU" w:bidi="he-IL"/>
        </w:rPr>
        <w:t xml:space="preserve"> 1065-1074</w:t>
      </w:r>
      <w:r w:rsidRPr="00E51FA9">
        <w:rPr>
          <w:rFonts w:asciiTheme="majorBidi" w:hAnsiTheme="majorBidi" w:cstheme="majorBidi"/>
          <w:i/>
          <w:iCs/>
          <w:sz w:val="24"/>
          <w:szCs w:val="24"/>
          <w:lang w:eastAsia="en-AU" w:bidi="he-IL"/>
        </w:rPr>
        <w:t>.</w:t>
      </w:r>
    </w:p>
    <w:p w14:paraId="14AF290B" w14:textId="77777777" w:rsidR="00A44B87" w:rsidRPr="00E51FA9" w:rsidRDefault="00A44B87" w:rsidP="00B10D81">
      <w:pPr>
        <w:spacing w:after="60"/>
        <w:rPr>
          <w:rFonts w:asciiTheme="majorBidi" w:hAnsiTheme="majorBidi" w:cstheme="majorBidi"/>
          <w:i/>
          <w:iCs/>
          <w:sz w:val="24"/>
          <w:szCs w:val="24"/>
          <w:lang w:eastAsia="en-AU" w:bidi="he-IL"/>
        </w:rPr>
      </w:pPr>
    </w:p>
    <w:p w14:paraId="1EC646F1" w14:textId="2F5C2340"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Hall, R. (2009). Evaluation principles and practice. In G. Argyrous (Ed.), </w:t>
      </w:r>
      <w:r w:rsidRPr="00E51FA9">
        <w:rPr>
          <w:rFonts w:asciiTheme="majorBidi" w:hAnsiTheme="majorBidi" w:cstheme="majorBidi"/>
          <w:i/>
          <w:iCs/>
          <w:sz w:val="24"/>
          <w:szCs w:val="24"/>
        </w:rPr>
        <w:t>Evidence for policy and decision-making</w:t>
      </w:r>
      <w:r w:rsidRPr="00E51FA9">
        <w:rPr>
          <w:rFonts w:asciiTheme="majorBidi" w:hAnsiTheme="majorBidi" w:cstheme="majorBidi"/>
          <w:sz w:val="24"/>
          <w:szCs w:val="24"/>
        </w:rPr>
        <w:t>. Sydney</w:t>
      </w:r>
      <w:r w:rsidR="008A392C">
        <w:rPr>
          <w:rFonts w:asciiTheme="majorBidi" w:hAnsiTheme="majorBidi" w:cstheme="majorBidi"/>
          <w:sz w:val="24"/>
          <w:szCs w:val="24"/>
        </w:rPr>
        <w:t>, Australia</w:t>
      </w:r>
      <w:r w:rsidRPr="00E51FA9">
        <w:rPr>
          <w:rFonts w:asciiTheme="majorBidi" w:hAnsiTheme="majorBidi" w:cstheme="majorBidi"/>
          <w:sz w:val="24"/>
          <w:szCs w:val="24"/>
        </w:rPr>
        <w:t>: UNSW Press.</w:t>
      </w:r>
    </w:p>
    <w:p w14:paraId="379C4B04"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01F6AC87"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 xml:space="preserve">Hastings, R. P., Remington, B., &amp; Hatton, C. (1995). Future directions for research on staff performance in services for people with learning disabilities. </w:t>
      </w:r>
      <w:r w:rsidRPr="00E51FA9">
        <w:rPr>
          <w:rFonts w:asciiTheme="majorBidi" w:hAnsiTheme="majorBidi" w:cstheme="majorBidi"/>
          <w:i/>
          <w:iCs/>
          <w:sz w:val="24"/>
          <w:szCs w:val="24"/>
        </w:rPr>
        <w:t>Journal of Applied Research in Intellectual Disabilities, 8</w:t>
      </w:r>
      <w:r w:rsidRPr="00FD6865">
        <w:rPr>
          <w:rFonts w:asciiTheme="majorBidi" w:hAnsiTheme="majorBidi" w:cstheme="majorBidi"/>
          <w:iCs/>
          <w:sz w:val="24"/>
          <w:szCs w:val="24"/>
        </w:rPr>
        <w:t>(4),</w:t>
      </w:r>
      <w:r w:rsidRPr="00E51FA9">
        <w:rPr>
          <w:rFonts w:asciiTheme="majorBidi" w:hAnsiTheme="majorBidi" w:cstheme="majorBidi"/>
          <w:sz w:val="24"/>
          <w:szCs w:val="24"/>
        </w:rPr>
        <w:t xml:space="preserve"> 333-339.</w:t>
      </w:r>
    </w:p>
    <w:p w14:paraId="6F4562E0" w14:textId="54D3487E" w:rsidR="00A44B87" w:rsidRDefault="00A44B87" w:rsidP="00B10D81">
      <w:pPr>
        <w:spacing w:after="60"/>
        <w:rPr>
          <w:rFonts w:asciiTheme="majorBidi" w:hAnsiTheme="majorBidi" w:cstheme="majorBidi"/>
          <w:iCs/>
          <w:sz w:val="24"/>
          <w:szCs w:val="24"/>
        </w:rPr>
      </w:pPr>
    </w:p>
    <w:p w14:paraId="2E2783D2" w14:textId="27A751E5" w:rsidR="007531C6" w:rsidRPr="00E51FA9" w:rsidRDefault="00C80596" w:rsidP="00B10D81">
      <w:pPr>
        <w:spacing w:after="60"/>
        <w:rPr>
          <w:rFonts w:asciiTheme="majorBidi" w:hAnsiTheme="majorBidi" w:cstheme="majorBidi"/>
          <w:iCs/>
          <w:sz w:val="24"/>
          <w:szCs w:val="24"/>
        </w:rPr>
      </w:pPr>
      <w:r w:rsidRPr="00C80596">
        <w:rPr>
          <w:rFonts w:asciiTheme="majorBidi" w:hAnsiTheme="majorBidi" w:cstheme="majorBidi"/>
          <w:iCs/>
          <w:sz w:val="24"/>
          <w:szCs w:val="24"/>
        </w:rPr>
        <w:t xml:space="preserve">Hickson, L., Khemka, I., Golden, H., &amp; Chatzistyli, A. (2013). Views and values of developmental disabilities and domestic violence/sexual assault support professionals regarding the prevention and handling of situations of abuse. </w:t>
      </w:r>
      <w:r w:rsidRPr="00EB132A">
        <w:rPr>
          <w:rFonts w:asciiTheme="majorBidi" w:hAnsiTheme="majorBidi" w:cstheme="majorBidi"/>
          <w:i/>
          <w:iCs/>
          <w:sz w:val="24"/>
          <w:szCs w:val="24"/>
        </w:rPr>
        <w:t>Journal of Policy and Practice in Intellectual Disabilities, 10</w:t>
      </w:r>
      <w:r w:rsidRPr="00C80596">
        <w:rPr>
          <w:rFonts w:asciiTheme="majorBidi" w:hAnsiTheme="majorBidi" w:cstheme="majorBidi"/>
          <w:iCs/>
          <w:sz w:val="24"/>
          <w:szCs w:val="24"/>
        </w:rPr>
        <w:t>(3), 207-214.</w:t>
      </w:r>
    </w:p>
    <w:p w14:paraId="691FBE73" w14:textId="77777777" w:rsidR="005B3587" w:rsidRDefault="005B3587" w:rsidP="00B10D81">
      <w:pPr>
        <w:spacing w:after="60"/>
        <w:rPr>
          <w:rFonts w:asciiTheme="majorBidi" w:hAnsiTheme="majorBidi" w:cstheme="majorBidi"/>
          <w:iCs/>
          <w:sz w:val="24"/>
          <w:szCs w:val="24"/>
        </w:rPr>
      </w:pPr>
    </w:p>
    <w:p w14:paraId="53EF0F2E" w14:textId="77777777"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 xml:space="preserve">Hickson, L., Khemka, I., Golden, H., &amp; Chatzistyli, A. (2015). Randomized controlled trial to evaluate an abuse prevention curriculum for women and men with intellectual and developmental disabilities. </w:t>
      </w:r>
      <w:r w:rsidRPr="00E51FA9">
        <w:rPr>
          <w:rFonts w:asciiTheme="majorBidi" w:hAnsiTheme="majorBidi" w:cstheme="majorBidi"/>
          <w:i/>
          <w:sz w:val="24"/>
          <w:szCs w:val="24"/>
        </w:rPr>
        <w:t>American journal on intellectual and developmental disabilities, 120(6),</w:t>
      </w:r>
      <w:r w:rsidRPr="00E51FA9">
        <w:rPr>
          <w:rFonts w:asciiTheme="majorBidi" w:hAnsiTheme="majorBidi" w:cstheme="majorBidi"/>
          <w:iCs/>
          <w:sz w:val="24"/>
          <w:szCs w:val="24"/>
        </w:rPr>
        <w:t xml:space="preserve"> 490-503.</w:t>
      </w:r>
    </w:p>
    <w:p w14:paraId="15264688" w14:textId="77777777" w:rsidR="00A44B87" w:rsidRPr="00E51FA9" w:rsidRDefault="00A44B87" w:rsidP="00B10D81">
      <w:pPr>
        <w:spacing w:after="60"/>
        <w:rPr>
          <w:rFonts w:asciiTheme="majorBidi" w:hAnsiTheme="majorBidi" w:cstheme="majorBidi"/>
          <w:sz w:val="24"/>
          <w:szCs w:val="24"/>
        </w:rPr>
      </w:pPr>
    </w:p>
    <w:p w14:paraId="786C9BAE" w14:textId="48FE5301"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Holzer, P. J. (2007). </w:t>
      </w:r>
      <w:r w:rsidRPr="001639B5">
        <w:rPr>
          <w:rFonts w:asciiTheme="majorBidi" w:hAnsiTheme="majorBidi" w:cstheme="majorBidi"/>
          <w:i/>
          <w:sz w:val="24"/>
          <w:szCs w:val="24"/>
        </w:rPr>
        <w:t>Defining the public health model for the child welfare services context</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(Resource Sheet No. 11</w:t>
      </w:r>
      <w:r w:rsidRPr="00E51FA9">
        <w:rPr>
          <w:rFonts w:asciiTheme="majorBidi" w:hAnsiTheme="majorBidi" w:cstheme="majorBidi"/>
          <w:sz w:val="24"/>
          <w:szCs w:val="24"/>
        </w:rPr>
        <w:t>). Melbourne</w:t>
      </w:r>
      <w:r w:rsidR="001639B5">
        <w:rPr>
          <w:rFonts w:asciiTheme="majorBidi" w:hAnsiTheme="majorBidi" w:cstheme="majorBidi"/>
          <w:sz w:val="24"/>
          <w:szCs w:val="24"/>
        </w:rPr>
        <w:t>, Australia</w:t>
      </w:r>
      <w:r w:rsidRPr="00E51FA9">
        <w:rPr>
          <w:rFonts w:asciiTheme="majorBidi" w:hAnsiTheme="majorBidi" w:cstheme="majorBidi"/>
          <w:sz w:val="24"/>
          <w:szCs w:val="24"/>
        </w:rPr>
        <w:t xml:space="preserve">: National Child Protection Clearinghouse. </w:t>
      </w:r>
    </w:p>
    <w:p w14:paraId="799D5EF7" w14:textId="77777777" w:rsidR="00A44B87" w:rsidRPr="00E51FA9" w:rsidRDefault="00A44B87" w:rsidP="00B10D81">
      <w:pPr>
        <w:spacing w:after="60"/>
        <w:rPr>
          <w:rFonts w:asciiTheme="majorBidi" w:hAnsiTheme="majorBidi" w:cstheme="majorBidi"/>
          <w:sz w:val="24"/>
          <w:szCs w:val="24"/>
        </w:rPr>
      </w:pPr>
    </w:p>
    <w:p w14:paraId="25511435" w14:textId="728CA11D"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Holzer, P. J., Higgins, J., Bromfield, L. M., Richardson, N., &amp; Higgins, D. J. (2006). The effectiveness of parent education and home visiting child maltreatment prevention programs (</w:t>
      </w:r>
      <w:r w:rsidRPr="00E51FA9">
        <w:rPr>
          <w:rFonts w:asciiTheme="majorBidi" w:hAnsiTheme="majorBidi" w:cstheme="majorBidi"/>
          <w:i/>
          <w:iCs/>
          <w:sz w:val="24"/>
          <w:szCs w:val="24"/>
        </w:rPr>
        <w:t>Child Abuse Prevention Issues No. 24</w:t>
      </w:r>
      <w:r w:rsidRPr="00E51FA9">
        <w:rPr>
          <w:rFonts w:asciiTheme="majorBidi" w:hAnsiTheme="majorBidi" w:cstheme="majorBidi"/>
          <w:sz w:val="24"/>
          <w:szCs w:val="24"/>
        </w:rPr>
        <w:t>). Melbourne</w:t>
      </w:r>
      <w:r w:rsidR="001639B5">
        <w:rPr>
          <w:rFonts w:asciiTheme="majorBidi" w:hAnsiTheme="majorBidi" w:cstheme="majorBidi"/>
          <w:sz w:val="24"/>
          <w:szCs w:val="24"/>
        </w:rPr>
        <w:t>, Australia</w:t>
      </w:r>
      <w:r w:rsidRPr="00E51FA9">
        <w:rPr>
          <w:rFonts w:asciiTheme="majorBidi" w:hAnsiTheme="majorBidi" w:cstheme="majorBidi"/>
          <w:sz w:val="24"/>
          <w:szCs w:val="24"/>
        </w:rPr>
        <w:t>: National Child Protection Clearinghouse</w:t>
      </w:r>
    </w:p>
    <w:p w14:paraId="3280ED14" w14:textId="77777777" w:rsidR="00A44B87" w:rsidRPr="00E51FA9" w:rsidRDefault="00A44B87" w:rsidP="00B10D81">
      <w:pPr>
        <w:spacing w:after="60"/>
        <w:rPr>
          <w:rFonts w:asciiTheme="majorBidi" w:hAnsiTheme="majorBidi" w:cstheme="majorBidi"/>
          <w:i/>
          <w:iCs/>
          <w:sz w:val="24"/>
          <w:szCs w:val="24"/>
          <w:lang w:eastAsia="en-AU" w:bidi="he-IL"/>
        </w:rPr>
      </w:pPr>
    </w:p>
    <w:p w14:paraId="1713D81B" w14:textId="6A481A95"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Hughes, K., Bellis, M., Jones, L., Wood, S., Bates, G., Eckley, L., McCoy, E</w:t>
      </w:r>
      <w:r w:rsidR="00AB254F">
        <w:rPr>
          <w:rFonts w:asciiTheme="majorBidi" w:hAnsiTheme="majorBidi" w:cstheme="majorBidi"/>
          <w:sz w:val="24"/>
          <w:szCs w:val="24"/>
          <w:lang w:eastAsia="en-AU" w:bidi="he-IL"/>
        </w:rPr>
        <w:t>.,</w:t>
      </w:r>
      <w:r w:rsidRPr="00E51FA9">
        <w:rPr>
          <w:rFonts w:asciiTheme="majorBidi" w:hAnsiTheme="majorBidi" w:cstheme="majorBidi"/>
          <w:sz w:val="24"/>
          <w:szCs w:val="24"/>
          <w:lang w:eastAsia="en-AU" w:bidi="he-IL"/>
        </w:rPr>
        <w:t xml:space="preserve"> Mikton, C; Shakespeare, T</w:t>
      </w:r>
      <w:r w:rsidR="00AB254F">
        <w:rPr>
          <w:rFonts w:asciiTheme="majorBidi" w:hAnsiTheme="majorBidi" w:cstheme="majorBidi"/>
          <w:sz w:val="24"/>
          <w:szCs w:val="24"/>
          <w:lang w:eastAsia="en-AU" w:bidi="he-IL"/>
        </w:rPr>
        <w:t>.,</w:t>
      </w:r>
      <w:r w:rsidRPr="00E51FA9">
        <w:rPr>
          <w:rFonts w:asciiTheme="majorBidi" w:hAnsiTheme="majorBidi" w:cstheme="majorBidi"/>
          <w:sz w:val="24"/>
          <w:szCs w:val="24"/>
          <w:lang w:eastAsia="en-AU" w:bidi="he-IL"/>
        </w:rPr>
        <w:t xml:space="preserve"> Officer, A. (2012). Prevalence and risk of violence against adults with disabilities: A systematic review and meta-analysis of observational studies. </w:t>
      </w:r>
      <w:r w:rsidRPr="00E51FA9">
        <w:rPr>
          <w:rFonts w:asciiTheme="majorBidi" w:hAnsiTheme="majorBidi" w:cstheme="majorBidi"/>
          <w:i/>
          <w:iCs/>
          <w:sz w:val="24"/>
          <w:szCs w:val="24"/>
          <w:lang w:eastAsia="en-AU" w:bidi="he-IL"/>
        </w:rPr>
        <w:t>The Lancet, 379</w:t>
      </w:r>
      <w:r w:rsidRPr="006C6C57">
        <w:rPr>
          <w:rFonts w:asciiTheme="majorBidi" w:hAnsiTheme="majorBidi" w:cstheme="majorBidi"/>
          <w:iCs/>
          <w:sz w:val="24"/>
          <w:szCs w:val="24"/>
          <w:lang w:eastAsia="en-AU" w:bidi="he-IL"/>
        </w:rPr>
        <w:t>(9826),</w:t>
      </w:r>
      <w:r w:rsidRPr="00AB254F">
        <w:rPr>
          <w:rFonts w:asciiTheme="majorBidi" w:hAnsiTheme="majorBidi" w:cstheme="majorBidi"/>
          <w:sz w:val="24"/>
          <w:szCs w:val="24"/>
          <w:lang w:eastAsia="en-AU" w:bidi="he-IL"/>
        </w:rPr>
        <w:t xml:space="preserve"> </w:t>
      </w:r>
      <w:r w:rsidRPr="00E51FA9">
        <w:rPr>
          <w:rFonts w:asciiTheme="majorBidi" w:hAnsiTheme="majorBidi" w:cstheme="majorBidi"/>
          <w:sz w:val="24"/>
          <w:szCs w:val="24"/>
          <w:lang w:eastAsia="en-AU" w:bidi="he-IL"/>
        </w:rPr>
        <w:t>1621-1629.</w:t>
      </w:r>
    </w:p>
    <w:p w14:paraId="6F56545B" w14:textId="77777777" w:rsidR="00A44B87" w:rsidRPr="00E51FA9" w:rsidRDefault="00A44B87" w:rsidP="00B10D81">
      <w:pPr>
        <w:spacing w:after="60"/>
        <w:rPr>
          <w:rFonts w:asciiTheme="majorBidi" w:hAnsiTheme="majorBidi" w:cstheme="majorBidi"/>
          <w:sz w:val="24"/>
          <w:szCs w:val="24"/>
          <w:lang w:eastAsia="en-AU" w:bidi="he-IL"/>
        </w:rPr>
      </w:pPr>
    </w:p>
    <w:p w14:paraId="5DEF0B03" w14:textId="6D6FC677"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Hulbert</w:t>
      </w:r>
      <w:r w:rsidRPr="00E51FA9">
        <w:rPr>
          <w:rFonts w:ascii="Calibri" w:eastAsia="Calibri" w:hAnsi="Calibri" w:cs="Calibri"/>
          <w:sz w:val="24"/>
          <w:szCs w:val="24"/>
          <w:lang w:eastAsia="en-AU" w:bidi="he-IL"/>
        </w:rPr>
        <w:t>‐</w:t>
      </w:r>
      <w:r w:rsidRPr="00E51FA9">
        <w:rPr>
          <w:rFonts w:asciiTheme="majorBidi" w:hAnsiTheme="majorBidi" w:cstheme="majorBidi"/>
          <w:sz w:val="24"/>
          <w:szCs w:val="24"/>
          <w:lang w:eastAsia="en-AU" w:bidi="he-IL"/>
        </w:rPr>
        <w:t xml:space="preserve">Williams, L., &amp; Hastings, R. P. (2008). Life events as a risk factor for psychological problems in individuals with intellectual disabilities: </w:t>
      </w:r>
      <w:r w:rsidR="00AB254F">
        <w:rPr>
          <w:rFonts w:asciiTheme="majorBidi" w:hAnsiTheme="majorBidi" w:cstheme="majorBidi"/>
          <w:sz w:val="24"/>
          <w:szCs w:val="24"/>
          <w:lang w:eastAsia="en-AU" w:bidi="he-IL"/>
        </w:rPr>
        <w:t>A</w:t>
      </w:r>
      <w:r w:rsidRPr="00E51FA9">
        <w:rPr>
          <w:rFonts w:asciiTheme="majorBidi" w:hAnsiTheme="majorBidi" w:cstheme="majorBidi"/>
          <w:sz w:val="24"/>
          <w:szCs w:val="24"/>
          <w:lang w:eastAsia="en-AU" w:bidi="he-IL"/>
        </w:rPr>
        <w:t xml:space="preserve"> critical review. </w:t>
      </w:r>
      <w:r w:rsidRPr="00E51FA9">
        <w:rPr>
          <w:rFonts w:asciiTheme="majorBidi" w:hAnsiTheme="majorBidi" w:cstheme="majorBidi"/>
          <w:i/>
          <w:iCs/>
          <w:sz w:val="24"/>
          <w:szCs w:val="24"/>
          <w:lang w:eastAsia="en-AU" w:bidi="he-IL"/>
        </w:rPr>
        <w:t>Journal of Intellectual Disability Research, 52</w:t>
      </w:r>
      <w:r w:rsidRPr="00FD6865">
        <w:rPr>
          <w:rFonts w:asciiTheme="majorBidi" w:hAnsiTheme="majorBidi" w:cstheme="majorBidi"/>
          <w:iCs/>
          <w:sz w:val="24"/>
          <w:szCs w:val="24"/>
          <w:lang w:eastAsia="en-AU" w:bidi="he-IL"/>
        </w:rPr>
        <w:t>(11)</w:t>
      </w:r>
      <w:r w:rsidRPr="00AB254F">
        <w:rPr>
          <w:rFonts w:asciiTheme="majorBidi" w:hAnsiTheme="majorBidi" w:cstheme="majorBidi"/>
          <w:sz w:val="24"/>
          <w:szCs w:val="24"/>
          <w:lang w:eastAsia="en-AU" w:bidi="he-IL"/>
        </w:rPr>
        <w:t>,</w:t>
      </w:r>
      <w:r w:rsidRPr="00E51FA9">
        <w:rPr>
          <w:rFonts w:asciiTheme="majorBidi" w:hAnsiTheme="majorBidi" w:cstheme="majorBidi"/>
          <w:sz w:val="24"/>
          <w:szCs w:val="24"/>
          <w:lang w:eastAsia="en-AU" w:bidi="he-IL"/>
        </w:rPr>
        <w:t xml:space="preserve"> 883-895.</w:t>
      </w:r>
    </w:p>
    <w:p w14:paraId="368657EB"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03E90F40" w14:textId="16478358" w:rsidR="00A44B87"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Hulme, P. A., &amp; Middleton, M. R. (2013). Psychosocial and developmental characteristics of civilly committed sex offenders. </w:t>
      </w:r>
      <w:r w:rsidRPr="00E51FA9">
        <w:rPr>
          <w:rFonts w:asciiTheme="majorBidi" w:hAnsiTheme="majorBidi" w:cstheme="majorBidi"/>
          <w:i/>
          <w:iCs/>
          <w:sz w:val="24"/>
          <w:szCs w:val="24"/>
        </w:rPr>
        <w:t>Issues in mental health nursing, 34</w:t>
      </w:r>
      <w:r w:rsidRPr="00FD6865">
        <w:rPr>
          <w:rFonts w:asciiTheme="majorBidi" w:hAnsiTheme="majorBidi" w:cstheme="majorBidi"/>
          <w:iCs/>
          <w:sz w:val="24"/>
          <w:szCs w:val="24"/>
        </w:rPr>
        <w:t>(3),</w:t>
      </w:r>
      <w:r w:rsidRPr="00E51FA9">
        <w:rPr>
          <w:rFonts w:asciiTheme="majorBidi" w:hAnsiTheme="majorBidi" w:cstheme="majorBidi"/>
          <w:sz w:val="24"/>
          <w:szCs w:val="24"/>
        </w:rPr>
        <w:t xml:space="preserve"> 141-149.</w:t>
      </w:r>
    </w:p>
    <w:p w14:paraId="15C89866" w14:textId="77777777" w:rsidR="00082CE5" w:rsidRDefault="00082CE5" w:rsidP="00B10D81">
      <w:pPr>
        <w:spacing w:after="60"/>
        <w:rPr>
          <w:rFonts w:asciiTheme="majorBidi" w:hAnsiTheme="majorBidi" w:cstheme="majorBidi"/>
          <w:sz w:val="24"/>
          <w:szCs w:val="24"/>
        </w:rPr>
      </w:pPr>
    </w:p>
    <w:p w14:paraId="4B8B3A1D" w14:textId="26613C92" w:rsidR="00082CE5" w:rsidRDefault="00082CE5" w:rsidP="00B10D81">
      <w:pPr>
        <w:spacing w:after="60"/>
        <w:rPr>
          <w:rFonts w:asciiTheme="majorBidi" w:hAnsiTheme="majorBidi" w:cstheme="majorBidi"/>
          <w:sz w:val="24"/>
          <w:szCs w:val="24"/>
        </w:rPr>
      </w:pPr>
      <w:r>
        <w:rPr>
          <w:rFonts w:asciiTheme="majorBidi" w:hAnsiTheme="majorBidi" w:cstheme="majorBidi"/>
          <w:sz w:val="24"/>
          <w:szCs w:val="24"/>
        </w:rPr>
        <w:t xml:space="preserve">Humphreys, L., Bigby, C., </w:t>
      </w:r>
      <w:proofErr w:type="spellStart"/>
      <w:r>
        <w:rPr>
          <w:rFonts w:asciiTheme="majorBidi" w:hAnsiTheme="majorBidi" w:cstheme="majorBidi"/>
          <w:sz w:val="24"/>
          <w:szCs w:val="24"/>
        </w:rPr>
        <w:t>Iacono</w:t>
      </w:r>
      <w:proofErr w:type="spellEnd"/>
      <w:r>
        <w:rPr>
          <w:rFonts w:asciiTheme="majorBidi" w:hAnsiTheme="majorBidi" w:cstheme="majorBidi"/>
          <w:sz w:val="24"/>
          <w:szCs w:val="24"/>
        </w:rPr>
        <w:t xml:space="preserve">, T., &amp; </w:t>
      </w:r>
      <w:proofErr w:type="spellStart"/>
      <w:r>
        <w:rPr>
          <w:rFonts w:asciiTheme="majorBidi" w:hAnsiTheme="majorBidi" w:cstheme="majorBidi"/>
          <w:sz w:val="24"/>
          <w:szCs w:val="24"/>
        </w:rPr>
        <w:t>Bould</w:t>
      </w:r>
      <w:proofErr w:type="spellEnd"/>
      <w:r>
        <w:rPr>
          <w:rFonts w:asciiTheme="majorBidi" w:hAnsiTheme="majorBidi" w:cstheme="majorBidi"/>
          <w:sz w:val="24"/>
          <w:szCs w:val="24"/>
        </w:rPr>
        <w:t xml:space="preserve">, E. (2016). Development of a scale to measure organisational culture in group homes. </w:t>
      </w:r>
      <w:r w:rsidRPr="00C64B1F">
        <w:rPr>
          <w:rFonts w:asciiTheme="majorBidi" w:hAnsiTheme="majorBidi" w:cstheme="majorBidi"/>
          <w:i/>
          <w:sz w:val="24"/>
          <w:szCs w:val="24"/>
        </w:rPr>
        <w:t>Journal of Intellectual Disability Research</w:t>
      </w:r>
      <w:r>
        <w:rPr>
          <w:rFonts w:asciiTheme="majorBidi" w:hAnsiTheme="majorBidi" w:cstheme="majorBidi"/>
          <w:sz w:val="24"/>
          <w:szCs w:val="24"/>
        </w:rPr>
        <w:t>,  60, 7-8, p.685</w:t>
      </w:r>
    </w:p>
    <w:p w14:paraId="2307724F" w14:textId="77777777" w:rsidR="00230ED0" w:rsidRDefault="00230ED0" w:rsidP="00230ED0">
      <w:pPr>
        <w:rPr>
          <w:color w:val="000000"/>
          <w:sz w:val="24"/>
          <w:szCs w:val="24"/>
          <w:shd w:val="clear" w:color="auto" w:fill="FFFFFF"/>
          <w:lang w:val="en-US"/>
        </w:rPr>
      </w:pPr>
    </w:p>
    <w:p w14:paraId="4FC0659F" w14:textId="77777777" w:rsidR="00230ED0" w:rsidRPr="00230ED0" w:rsidRDefault="00230ED0" w:rsidP="00230ED0">
      <w:pPr>
        <w:rPr>
          <w:sz w:val="24"/>
          <w:szCs w:val="24"/>
          <w:lang w:val="en-US"/>
        </w:rPr>
      </w:pPr>
      <w:r w:rsidRPr="00230ED0">
        <w:rPr>
          <w:color w:val="000000"/>
          <w:sz w:val="24"/>
          <w:szCs w:val="24"/>
          <w:shd w:val="clear" w:color="auto" w:fill="FFFFFF"/>
          <w:lang w:val="en-US"/>
        </w:rPr>
        <w:t xml:space="preserve">Hutchison, A., &amp; </w:t>
      </w:r>
      <w:proofErr w:type="spellStart"/>
      <w:r w:rsidRPr="00230ED0">
        <w:rPr>
          <w:color w:val="000000"/>
          <w:sz w:val="24"/>
          <w:szCs w:val="24"/>
          <w:shd w:val="clear" w:color="auto" w:fill="FFFFFF"/>
          <w:lang w:val="en-US"/>
        </w:rPr>
        <w:t>Stenfert</w:t>
      </w:r>
      <w:proofErr w:type="spellEnd"/>
      <w:r w:rsidRPr="00230ED0">
        <w:rPr>
          <w:color w:val="000000"/>
          <w:sz w:val="24"/>
          <w:szCs w:val="24"/>
          <w:shd w:val="clear" w:color="auto" w:fill="FFFFFF"/>
          <w:lang w:val="en-US"/>
        </w:rPr>
        <w:t xml:space="preserve"> </w:t>
      </w:r>
      <w:proofErr w:type="spellStart"/>
      <w:r w:rsidRPr="00230ED0">
        <w:rPr>
          <w:color w:val="000000"/>
          <w:sz w:val="24"/>
          <w:szCs w:val="24"/>
          <w:shd w:val="clear" w:color="auto" w:fill="FFFFFF"/>
          <w:lang w:val="en-US"/>
        </w:rPr>
        <w:t>Kroese</w:t>
      </w:r>
      <w:proofErr w:type="spellEnd"/>
      <w:r w:rsidRPr="00230ED0">
        <w:rPr>
          <w:color w:val="000000"/>
          <w:sz w:val="24"/>
          <w:szCs w:val="24"/>
          <w:shd w:val="clear" w:color="auto" w:fill="FFFFFF"/>
          <w:lang w:val="en-US"/>
        </w:rPr>
        <w:t xml:space="preserve">, B. (2015). A review of literature exploring the possible causes of abuse and neglect in adult residential care. </w:t>
      </w:r>
      <w:r w:rsidRPr="00230ED0">
        <w:rPr>
          <w:i/>
          <w:color w:val="000000"/>
          <w:sz w:val="24"/>
          <w:szCs w:val="24"/>
          <w:shd w:val="clear" w:color="auto" w:fill="FFFFFF"/>
          <w:lang w:val="en-US"/>
        </w:rPr>
        <w:t>The Journal of Adult Protection</w:t>
      </w:r>
      <w:r w:rsidRPr="00230ED0">
        <w:rPr>
          <w:color w:val="000000"/>
          <w:sz w:val="24"/>
          <w:szCs w:val="24"/>
          <w:shd w:val="clear" w:color="auto" w:fill="FFFFFF"/>
          <w:lang w:val="en-US"/>
        </w:rPr>
        <w:t>, 17(4), 216-233.</w:t>
      </w:r>
    </w:p>
    <w:p w14:paraId="50868635" w14:textId="77777777" w:rsidR="006C6C57" w:rsidRPr="00E51FA9" w:rsidRDefault="006C6C57" w:rsidP="00B10D81">
      <w:pPr>
        <w:spacing w:after="60"/>
        <w:rPr>
          <w:rFonts w:asciiTheme="majorBidi" w:hAnsiTheme="majorBidi" w:cstheme="majorBidi"/>
          <w:sz w:val="24"/>
          <w:szCs w:val="24"/>
        </w:rPr>
      </w:pPr>
    </w:p>
    <w:p w14:paraId="0245CE02" w14:textId="77777777" w:rsidR="00540879" w:rsidRDefault="00540879" w:rsidP="00B10D81">
      <w:pPr>
        <w:spacing w:after="60"/>
        <w:rPr>
          <w:rFonts w:asciiTheme="majorBidi" w:hAnsiTheme="majorBidi" w:cstheme="majorBidi"/>
          <w:sz w:val="24"/>
          <w:szCs w:val="24"/>
        </w:rPr>
      </w:pPr>
      <w:r w:rsidRPr="00540879">
        <w:rPr>
          <w:rFonts w:asciiTheme="majorBidi" w:hAnsiTheme="majorBidi" w:cstheme="majorBidi"/>
          <w:sz w:val="24"/>
          <w:szCs w:val="24"/>
        </w:rPr>
        <w:t xml:space="preserve">Khemka, I., Hickson, L., &amp; Reynolds, G. (2005). Evaluation of a decision-making curriculum designed to empower women with mental retardation to resist abuse. </w:t>
      </w:r>
      <w:r w:rsidRPr="00EB132A">
        <w:rPr>
          <w:rFonts w:asciiTheme="majorBidi" w:hAnsiTheme="majorBidi" w:cstheme="majorBidi"/>
          <w:i/>
          <w:sz w:val="24"/>
          <w:szCs w:val="24"/>
        </w:rPr>
        <w:t>American Journal on Mental Retardation, 110</w:t>
      </w:r>
      <w:r w:rsidRPr="00540879">
        <w:rPr>
          <w:rFonts w:asciiTheme="majorBidi" w:hAnsiTheme="majorBidi" w:cstheme="majorBidi"/>
          <w:sz w:val="24"/>
          <w:szCs w:val="24"/>
        </w:rPr>
        <w:t>(3), 193-204.</w:t>
      </w:r>
    </w:p>
    <w:p w14:paraId="5358623B" w14:textId="77777777" w:rsidR="00540879" w:rsidRDefault="00540879" w:rsidP="00B10D81">
      <w:pPr>
        <w:spacing w:after="60"/>
        <w:rPr>
          <w:rFonts w:asciiTheme="majorBidi" w:hAnsiTheme="majorBidi" w:cstheme="majorBidi"/>
          <w:sz w:val="24"/>
          <w:szCs w:val="24"/>
        </w:rPr>
      </w:pPr>
    </w:p>
    <w:p w14:paraId="1EFAC7B2" w14:textId="3DC1EAC5"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Knudsen E. I., Heckman J. J., Cameron J. L., </w:t>
      </w:r>
      <w:r w:rsidR="00181E8A">
        <w:rPr>
          <w:rFonts w:asciiTheme="majorBidi" w:hAnsiTheme="majorBidi" w:cstheme="majorBidi"/>
          <w:sz w:val="24"/>
          <w:szCs w:val="24"/>
        </w:rPr>
        <w:t xml:space="preserve">&amp; </w:t>
      </w:r>
      <w:r w:rsidRPr="00E51FA9">
        <w:rPr>
          <w:rFonts w:asciiTheme="majorBidi" w:hAnsiTheme="majorBidi" w:cstheme="majorBidi"/>
          <w:sz w:val="24"/>
          <w:szCs w:val="24"/>
        </w:rPr>
        <w:t>Shonkoff J. P. (2006). Economic, neurobiological, and behavioral perspectives on building America’s future workforce</w:t>
      </w:r>
      <w:r w:rsidRPr="00E51FA9">
        <w:rPr>
          <w:rFonts w:asciiTheme="majorBidi" w:hAnsiTheme="majorBidi" w:cstheme="majorBidi"/>
          <w:i/>
          <w:iCs/>
          <w:sz w:val="24"/>
          <w:szCs w:val="24"/>
        </w:rPr>
        <w:t>. Proceedings of the National Academy of Sciences of the United States of America, 103</w:t>
      </w:r>
      <w:r w:rsidRPr="00E51FA9">
        <w:rPr>
          <w:rFonts w:asciiTheme="majorBidi" w:hAnsiTheme="majorBidi" w:cstheme="majorBidi"/>
          <w:sz w:val="24"/>
          <w:szCs w:val="24"/>
        </w:rPr>
        <w:t>, 10155-10162. doi:</w:t>
      </w:r>
      <w:r w:rsidR="00181E8A">
        <w:rPr>
          <w:rFonts w:asciiTheme="majorBidi" w:hAnsiTheme="majorBidi" w:cstheme="majorBidi"/>
          <w:sz w:val="24"/>
          <w:szCs w:val="24"/>
        </w:rPr>
        <w:t xml:space="preserve"> </w:t>
      </w:r>
      <w:r w:rsidRPr="00E51FA9">
        <w:rPr>
          <w:rFonts w:asciiTheme="majorBidi" w:hAnsiTheme="majorBidi" w:cstheme="majorBidi"/>
          <w:sz w:val="24"/>
          <w:szCs w:val="24"/>
        </w:rPr>
        <w:t>10.1073/pnas.0600888103</w:t>
      </w:r>
    </w:p>
    <w:p w14:paraId="15CBA90B" w14:textId="77777777" w:rsidR="00A44B87" w:rsidRPr="00E51FA9" w:rsidRDefault="00A44B87" w:rsidP="00B10D81">
      <w:pPr>
        <w:spacing w:after="60"/>
        <w:rPr>
          <w:rFonts w:asciiTheme="majorBidi" w:hAnsiTheme="majorBidi" w:cstheme="majorBidi"/>
          <w:i/>
          <w:iCs/>
          <w:sz w:val="24"/>
          <w:szCs w:val="24"/>
          <w:lang w:eastAsia="en-AU" w:bidi="he-IL"/>
        </w:rPr>
      </w:pPr>
    </w:p>
    <w:p w14:paraId="4120D95F" w14:textId="3F74B2FB"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Krug, E. G., Dahlberg, L. L., Mercy, J. A., Zwi, A. B., &amp; Lozano, R. (2015). </w:t>
      </w:r>
      <w:r w:rsidRPr="00FD6865">
        <w:rPr>
          <w:rFonts w:asciiTheme="majorBidi" w:hAnsiTheme="majorBidi" w:cstheme="majorBidi"/>
          <w:i/>
          <w:sz w:val="24"/>
          <w:szCs w:val="24"/>
          <w:lang w:eastAsia="en-AU" w:bidi="he-IL"/>
        </w:rPr>
        <w:t>World Report on Violence and Health</w:t>
      </w:r>
      <w:r w:rsidRPr="00E51FA9">
        <w:rPr>
          <w:rFonts w:asciiTheme="majorBidi" w:hAnsiTheme="majorBidi" w:cstheme="majorBidi"/>
          <w:sz w:val="24"/>
          <w:szCs w:val="24"/>
          <w:lang w:eastAsia="en-AU" w:bidi="he-IL"/>
        </w:rPr>
        <w:t>. Geneva</w:t>
      </w:r>
      <w:r w:rsidR="008A392C">
        <w:rPr>
          <w:rFonts w:asciiTheme="majorBidi" w:hAnsiTheme="majorBidi" w:cstheme="majorBidi"/>
          <w:sz w:val="24"/>
          <w:szCs w:val="24"/>
          <w:lang w:eastAsia="en-AU" w:bidi="he-IL"/>
        </w:rPr>
        <w:t>, Switzerland</w:t>
      </w:r>
      <w:r w:rsidRPr="00E51FA9">
        <w:rPr>
          <w:rFonts w:asciiTheme="majorBidi" w:hAnsiTheme="majorBidi" w:cstheme="majorBidi"/>
          <w:sz w:val="24"/>
          <w:szCs w:val="24"/>
          <w:lang w:eastAsia="en-AU" w:bidi="he-IL"/>
        </w:rPr>
        <w:t xml:space="preserve">: World Health Organisation, </w:t>
      </w:r>
    </w:p>
    <w:p w14:paraId="243FEB34" w14:textId="77777777" w:rsidR="00A44B87" w:rsidRPr="00E51FA9" w:rsidRDefault="00A44B87" w:rsidP="00B10D81">
      <w:pPr>
        <w:spacing w:after="60"/>
        <w:rPr>
          <w:rFonts w:asciiTheme="majorBidi" w:hAnsiTheme="majorBidi" w:cstheme="majorBidi"/>
          <w:iCs/>
          <w:sz w:val="24"/>
          <w:szCs w:val="24"/>
        </w:rPr>
      </w:pPr>
    </w:p>
    <w:p w14:paraId="432EEDA0" w14:textId="7BC1436D"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 xml:space="preserve">Krug, E. G., Mercy, J. A., Dahlberg, L. L., &amp; Zwi, A. B. (2002). The world report on violence and health. </w:t>
      </w:r>
      <w:r w:rsidR="00482E3E">
        <w:rPr>
          <w:rFonts w:asciiTheme="majorBidi" w:hAnsiTheme="majorBidi" w:cstheme="majorBidi"/>
          <w:i/>
          <w:sz w:val="24"/>
          <w:szCs w:val="24"/>
        </w:rPr>
        <w:t>The L</w:t>
      </w:r>
      <w:r w:rsidRPr="00E51FA9">
        <w:rPr>
          <w:rFonts w:asciiTheme="majorBidi" w:hAnsiTheme="majorBidi" w:cstheme="majorBidi"/>
          <w:i/>
          <w:sz w:val="24"/>
          <w:szCs w:val="24"/>
        </w:rPr>
        <w:t>ancet, 360</w:t>
      </w:r>
      <w:r w:rsidR="00FD6865">
        <w:rPr>
          <w:rFonts w:asciiTheme="majorBidi" w:hAnsiTheme="majorBidi" w:cstheme="majorBidi"/>
          <w:i/>
          <w:sz w:val="24"/>
          <w:szCs w:val="24"/>
        </w:rPr>
        <w:t xml:space="preserve"> </w:t>
      </w:r>
      <w:r w:rsidRPr="00FD6865">
        <w:rPr>
          <w:rFonts w:asciiTheme="majorBidi" w:hAnsiTheme="majorBidi" w:cstheme="majorBidi"/>
          <w:sz w:val="24"/>
          <w:szCs w:val="24"/>
        </w:rPr>
        <w:t>(9339),</w:t>
      </w:r>
      <w:r w:rsidRPr="00E51FA9">
        <w:rPr>
          <w:rFonts w:asciiTheme="majorBidi" w:hAnsiTheme="majorBidi" w:cstheme="majorBidi"/>
          <w:iCs/>
          <w:sz w:val="24"/>
          <w:szCs w:val="24"/>
        </w:rPr>
        <w:t xml:space="preserve"> 1083-1088.</w:t>
      </w:r>
    </w:p>
    <w:p w14:paraId="7A5EF4C1" w14:textId="77777777" w:rsidR="00A44B87" w:rsidRPr="00E51FA9" w:rsidRDefault="00A44B87" w:rsidP="00B10D81">
      <w:pPr>
        <w:spacing w:after="60"/>
        <w:rPr>
          <w:rFonts w:asciiTheme="majorBidi" w:hAnsiTheme="majorBidi" w:cstheme="majorBidi"/>
          <w:iCs/>
          <w:sz w:val="24"/>
          <w:szCs w:val="24"/>
        </w:rPr>
      </w:pPr>
    </w:p>
    <w:p w14:paraId="27E083F4" w14:textId="77777777"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Lan-Ping, L., Chia-Feng, Y., Fang-Yu, K., Jia-Ling, W., &amp; Jin-Ding, L. (2009). Sexual assault of people with disabilities: Results of a 2002-2007 national report in Taiwan. </w:t>
      </w:r>
      <w:r w:rsidRPr="00E51FA9">
        <w:rPr>
          <w:rFonts w:asciiTheme="majorBidi" w:hAnsiTheme="majorBidi" w:cstheme="majorBidi"/>
          <w:i/>
          <w:iCs/>
          <w:sz w:val="24"/>
          <w:szCs w:val="24"/>
          <w:lang w:eastAsia="en-AU" w:bidi="he-IL"/>
        </w:rPr>
        <w:t>Research in Developmental Disabilities, 30</w:t>
      </w:r>
      <w:r w:rsidRPr="00E51FA9">
        <w:rPr>
          <w:rFonts w:asciiTheme="majorBidi" w:hAnsiTheme="majorBidi" w:cstheme="majorBidi"/>
          <w:sz w:val="24"/>
          <w:szCs w:val="24"/>
          <w:lang w:eastAsia="en-AU" w:bidi="he-IL"/>
        </w:rPr>
        <w:t>, 969-975.</w:t>
      </w:r>
    </w:p>
    <w:p w14:paraId="6B32FA95" w14:textId="77777777" w:rsidR="00A44B87" w:rsidRPr="00E51FA9" w:rsidRDefault="00A44B87" w:rsidP="00B10D81">
      <w:pPr>
        <w:spacing w:after="60"/>
        <w:rPr>
          <w:rFonts w:asciiTheme="majorBidi" w:hAnsiTheme="majorBidi" w:cstheme="majorBidi"/>
          <w:i/>
          <w:iCs/>
          <w:sz w:val="24"/>
          <w:szCs w:val="24"/>
          <w:lang w:eastAsia="en-AU" w:bidi="he-IL"/>
        </w:rPr>
      </w:pPr>
    </w:p>
    <w:p w14:paraId="1DC42941" w14:textId="542A5820"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Levy, H., &amp; Packman, W. (2004). Sexual abuse prevention for individuals with mental retardation: Considerations for genetic </w:t>
      </w:r>
      <w:r w:rsidR="00861FCE" w:rsidRPr="00E51FA9">
        <w:rPr>
          <w:rFonts w:asciiTheme="majorBidi" w:hAnsiTheme="majorBidi" w:cstheme="majorBidi"/>
          <w:sz w:val="24"/>
          <w:szCs w:val="24"/>
          <w:lang w:eastAsia="en-AU" w:bidi="he-IL"/>
        </w:rPr>
        <w:t>counsellors</w:t>
      </w:r>
      <w:r w:rsidRPr="00E51FA9">
        <w:rPr>
          <w:rFonts w:asciiTheme="majorBidi" w:hAnsiTheme="majorBidi" w:cstheme="majorBidi"/>
          <w:sz w:val="24"/>
          <w:szCs w:val="24"/>
          <w:lang w:eastAsia="en-AU" w:bidi="he-IL"/>
        </w:rPr>
        <w:t xml:space="preserve">. </w:t>
      </w:r>
      <w:r w:rsidRPr="00E51FA9">
        <w:rPr>
          <w:rFonts w:asciiTheme="majorBidi" w:hAnsiTheme="majorBidi" w:cstheme="majorBidi"/>
          <w:i/>
          <w:iCs/>
          <w:sz w:val="24"/>
          <w:szCs w:val="24"/>
          <w:lang w:eastAsia="en-AU" w:bidi="he-IL"/>
        </w:rPr>
        <w:t xml:space="preserve">Journal of Genetic </w:t>
      </w:r>
      <w:r w:rsidR="00861FCE" w:rsidRPr="00E51FA9">
        <w:rPr>
          <w:rFonts w:asciiTheme="majorBidi" w:hAnsiTheme="majorBidi" w:cstheme="majorBidi"/>
          <w:i/>
          <w:iCs/>
          <w:sz w:val="24"/>
          <w:szCs w:val="24"/>
          <w:lang w:eastAsia="en-AU" w:bidi="he-IL"/>
        </w:rPr>
        <w:t>Counselling</w:t>
      </w:r>
      <w:r w:rsidRPr="00E51FA9">
        <w:rPr>
          <w:rFonts w:asciiTheme="majorBidi" w:hAnsiTheme="majorBidi" w:cstheme="majorBidi"/>
          <w:i/>
          <w:iCs/>
          <w:sz w:val="24"/>
          <w:szCs w:val="24"/>
          <w:lang w:eastAsia="en-AU" w:bidi="he-IL"/>
        </w:rPr>
        <w:t>, 13</w:t>
      </w:r>
      <w:r w:rsidRPr="00FD6865">
        <w:rPr>
          <w:rFonts w:asciiTheme="majorBidi" w:hAnsiTheme="majorBidi" w:cstheme="majorBidi"/>
          <w:iCs/>
          <w:sz w:val="24"/>
          <w:szCs w:val="24"/>
          <w:lang w:eastAsia="en-AU" w:bidi="he-IL"/>
        </w:rPr>
        <w:t>(3),</w:t>
      </w:r>
      <w:r w:rsidRPr="00E51FA9">
        <w:rPr>
          <w:rFonts w:asciiTheme="majorBidi" w:hAnsiTheme="majorBidi" w:cstheme="majorBidi"/>
          <w:sz w:val="24"/>
          <w:szCs w:val="24"/>
          <w:lang w:eastAsia="en-AU" w:bidi="he-IL"/>
        </w:rPr>
        <w:t xml:space="preserve"> 189-205.</w:t>
      </w:r>
    </w:p>
    <w:p w14:paraId="096F77A9" w14:textId="77777777" w:rsidR="00A44B87" w:rsidRPr="00E51FA9" w:rsidRDefault="00A44B87" w:rsidP="00B10D81">
      <w:pPr>
        <w:spacing w:after="60"/>
        <w:rPr>
          <w:rFonts w:asciiTheme="majorBidi" w:hAnsiTheme="majorBidi" w:cstheme="majorBidi"/>
          <w:iCs/>
          <w:sz w:val="24"/>
          <w:szCs w:val="24"/>
        </w:rPr>
      </w:pPr>
    </w:p>
    <w:p w14:paraId="144E4818" w14:textId="77777777"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 xml:space="preserve">Lund, E. M., &amp; Hammond, M. (2014). Single-session intervention for abuse awareness among people with developmental disabilities. </w:t>
      </w:r>
      <w:r w:rsidRPr="00E51FA9">
        <w:rPr>
          <w:rFonts w:asciiTheme="majorBidi" w:hAnsiTheme="majorBidi" w:cstheme="majorBidi"/>
          <w:i/>
          <w:sz w:val="24"/>
          <w:szCs w:val="24"/>
        </w:rPr>
        <w:t>Sexuality and Disability, 32</w:t>
      </w:r>
      <w:r w:rsidRPr="00FD6865">
        <w:rPr>
          <w:rFonts w:asciiTheme="majorBidi" w:hAnsiTheme="majorBidi" w:cstheme="majorBidi"/>
          <w:sz w:val="24"/>
          <w:szCs w:val="24"/>
        </w:rPr>
        <w:t>(1),</w:t>
      </w:r>
      <w:r w:rsidRPr="00E51FA9">
        <w:rPr>
          <w:rFonts w:asciiTheme="majorBidi" w:hAnsiTheme="majorBidi" w:cstheme="majorBidi"/>
          <w:iCs/>
          <w:sz w:val="24"/>
          <w:szCs w:val="24"/>
        </w:rPr>
        <w:t xml:space="preserve"> 99-105.</w:t>
      </w:r>
    </w:p>
    <w:p w14:paraId="1A306EF4" w14:textId="77777777" w:rsidR="00A44B87" w:rsidRPr="00E51FA9" w:rsidRDefault="00A44B87" w:rsidP="00B10D81">
      <w:pPr>
        <w:spacing w:after="60"/>
        <w:rPr>
          <w:rFonts w:asciiTheme="majorBidi" w:hAnsiTheme="majorBidi" w:cstheme="majorBidi"/>
          <w:iCs/>
          <w:sz w:val="24"/>
          <w:szCs w:val="24"/>
        </w:rPr>
      </w:pPr>
    </w:p>
    <w:p w14:paraId="4F1D3CE3" w14:textId="77777777" w:rsidR="00A44B87" w:rsidRPr="00E51FA9"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 xml:space="preserve">Mandeville, H., &amp; Hanson, M. (2000). Understanding caregiver abuse as domestic violence: Systemic change in Wisconsin. </w:t>
      </w:r>
      <w:r w:rsidRPr="00E51FA9">
        <w:rPr>
          <w:rFonts w:asciiTheme="majorBidi" w:hAnsiTheme="majorBidi" w:cstheme="majorBidi"/>
          <w:i/>
          <w:sz w:val="24"/>
          <w:szCs w:val="24"/>
        </w:rPr>
        <w:t>Impact, 13</w:t>
      </w:r>
      <w:r w:rsidRPr="00FD6865">
        <w:rPr>
          <w:rFonts w:asciiTheme="majorBidi" w:hAnsiTheme="majorBidi" w:cstheme="majorBidi"/>
          <w:sz w:val="24"/>
          <w:szCs w:val="24"/>
        </w:rPr>
        <w:t>(3),</w:t>
      </w:r>
      <w:r w:rsidRPr="00E51FA9">
        <w:rPr>
          <w:rFonts w:asciiTheme="majorBidi" w:hAnsiTheme="majorBidi" w:cstheme="majorBidi"/>
          <w:iCs/>
          <w:sz w:val="24"/>
          <w:szCs w:val="24"/>
        </w:rPr>
        <w:t xml:space="preserve"> 14-15.</w:t>
      </w:r>
    </w:p>
    <w:p w14:paraId="2FB5BDC9" w14:textId="77777777" w:rsidR="00A44B87" w:rsidRPr="005055FB" w:rsidRDefault="00A44B87" w:rsidP="00B10D81">
      <w:pPr>
        <w:spacing w:after="60"/>
        <w:rPr>
          <w:rFonts w:asciiTheme="majorBidi" w:hAnsiTheme="majorBidi" w:cstheme="majorBidi"/>
          <w:iCs/>
          <w:sz w:val="24"/>
          <w:szCs w:val="24"/>
        </w:rPr>
      </w:pPr>
    </w:p>
    <w:p w14:paraId="0C658E6D" w14:textId="384AA99A" w:rsidR="006A5A9F" w:rsidRDefault="006A5A9F" w:rsidP="00B10D81">
      <w:pPr>
        <w:spacing w:after="60"/>
        <w:rPr>
          <w:rFonts w:asciiTheme="majorBidi" w:hAnsiTheme="majorBidi" w:cstheme="majorBidi"/>
          <w:iCs/>
          <w:sz w:val="24"/>
          <w:szCs w:val="24"/>
        </w:rPr>
      </w:pPr>
      <w:r w:rsidRPr="006A5A9F">
        <w:rPr>
          <w:rFonts w:asciiTheme="majorBidi" w:hAnsiTheme="majorBidi" w:cstheme="majorBidi"/>
          <w:iCs/>
          <w:sz w:val="24"/>
          <w:szCs w:val="24"/>
        </w:rPr>
        <w:t xml:space="preserve">Mansell, J., &amp; Beadle-Brown, J. (2012). </w:t>
      </w:r>
      <w:r w:rsidRPr="006A5A9F">
        <w:rPr>
          <w:rFonts w:asciiTheme="majorBidi" w:hAnsiTheme="majorBidi" w:cstheme="majorBidi"/>
          <w:i/>
          <w:iCs/>
          <w:sz w:val="24"/>
          <w:szCs w:val="24"/>
        </w:rPr>
        <w:t>Active support: Enabling and empowering people with intellectual disabilities</w:t>
      </w:r>
      <w:r w:rsidRPr="006A5A9F">
        <w:rPr>
          <w:rFonts w:asciiTheme="majorBidi" w:hAnsiTheme="majorBidi" w:cstheme="majorBidi"/>
          <w:iCs/>
          <w:sz w:val="24"/>
          <w:szCs w:val="24"/>
        </w:rPr>
        <w:t xml:space="preserve">. </w:t>
      </w:r>
      <w:r w:rsidR="0078243A">
        <w:rPr>
          <w:rFonts w:asciiTheme="majorBidi" w:hAnsiTheme="majorBidi" w:cstheme="majorBidi"/>
          <w:sz w:val="24"/>
          <w:szCs w:val="24"/>
        </w:rPr>
        <w:t>Warriewood, Australia:</w:t>
      </w:r>
      <w:r w:rsidR="0078243A" w:rsidRPr="006A5A9F">
        <w:rPr>
          <w:rFonts w:asciiTheme="majorBidi" w:hAnsiTheme="majorBidi" w:cstheme="majorBidi"/>
          <w:iCs/>
          <w:sz w:val="24"/>
          <w:szCs w:val="24"/>
        </w:rPr>
        <w:t xml:space="preserve"> </w:t>
      </w:r>
      <w:r w:rsidRPr="006A5A9F">
        <w:rPr>
          <w:rFonts w:asciiTheme="majorBidi" w:hAnsiTheme="majorBidi" w:cstheme="majorBidi"/>
          <w:iCs/>
          <w:sz w:val="24"/>
          <w:szCs w:val="24"/>
        </w:rPr>
        <w:t>Jessica Kingsley Publishers.</w:t>
      </w:r>
    </w:p>
    <w:p w14:paraId="75A8FC10" w14:textId="77777777" w:rsidR="006A5A9F" w:rsidRDefault="006A5A9F" w:rsidP="00B10D81">
      <w:pPr>
        <w:spacing w:after="60"/>
        <w:rPr>
          <w:rFonts w:asciiTheme="majorBidi" w:hAnsiTheme="majorBidi" w:cstheme="majorBidi"/>
          <w:iCs/>
          <w:sz w:val="24"/>
          <w:szCs w:val="24"/>
        </w:rPr>
      </w:pPr>
    </w:p>
    <w:p w14:paraId="38148173" w14:textId="1B0418E2" w:rsidR="00656EEB" w:rsidRDefault="00942A81" w:rsidP="00B10D81">
      <w:pPr>
        <w:spacing w:after="60"/>
        <w:rPr>
          <w:rFonts w:asciiTheme="majorBidi" w:hAnsiTheme="majorBidi" w:cstheme="majorBidi"/>
          <w:iCs/>
          <w:sz w:val="24"/>
          <w:szCs w:val="24"/>
        </w:rPr>
      </w:pPr>
      <w:r w:rsidRPr="00582DC2">
        <w:rPr>
          <w:rFonts w:asciiTheme="majorBidi" w:hAnsiTheme="majorBidi" w:cstheme="majorBidi"/>
          <w:iCs/>
          <w:sz w:val="24"/>
          <w:szCs w:val="24"/>
        </w:rPr>
        <w:t xml:space="preserve">Mansell, J., McGill, P. &amp; Emerson, E. (1994). Conceptualizing service provision. In E. Emerson, P. McGill &amp; J. Mansell (Eds.), </w:t>
      </w:r>
      <w:r w:rsidRPr="00582DC2">
        <w:rPr>
          <w:rFonts w:asciiTheme="majorBidi" w:hAnsiTheme="majorBidi" w:cstheme="majorBidi"/>
          <w:i/>
          <w:sz w:val="24"/>
          <w:szCs w:val="24"/>
        </w:rPr>
        <w:t>Severe Learning Disabilities and Challenging Behaviour</w:t>
      </w:r>
      <w:r w:rsidRPr="00582DC2">
        <w:rPr>
          <w:rFonts w:asciiTheme="majorBidi" w:hAnsiTheme="majorBidi" w:cstheme="majorBidi"/>
          <w:iCs/>
          <w:sz w:val="24"/>
          <w:szCs w:val="24"/>
        </w:rPr>
        <w:t xml:space="preserve"> (</w:t>
      </w:r>
      <w:r w:rsidR="00427784" w:rsidRPr="00582DC2">
        <w:rPr>
          <w:rFonts w:asciiTheme="majorBidi" w:hAnsiTheme="majorBidi" w:cstheme="majorBidi"/>
          <w:iCs/>
          <w:sz w:val="24"/>
          <w:szCs w:val="24"/>
        </w:rPr>
        <w:t xml:space="preserve">pp. </w:t>
      </w:r>
      <w:r w:rsidRPr="00582DC2">
        <w:rPr>
          <w:rFonts w:asciiTheme="majorBidi" w:hAnsiTheme="majorBidi" w:cstheme="majorBidi"/>
          <w:iCs/>
          <w:sz w:val="24"/>
          <w:szCs w:val="24"/>
        </w:rPr>
        <w:t xml:space="preserve">69–93). London, UK: Chapman &amp; Hall. </w:t>
      </w:r>
    </w:p>
    <w:p w14:paraId="073B617C" w14:textId="77777777" w:rsidR="006A5A9F" w:rsidRPr="005055FB" w:rsidRDefault="006A5A9F" w:rsidP="00B10D81">
      <w:pPr>
        <w:spacing w:after="60"/>
        <w:rPr>
          <w:rFonts w:asciiTheme="majorBidi" w:hAnsiTheme="majorBidi" w:cstheme="majorBidi"/>
          <w:iCs/>
          <w:sz w:val="24"/>
          <w:szCs w:val="24"/>
        </w:rPr>
      </w:pPr>
    </w:p>
    <w:p w14:paraId="6A3EA261" w14:textId="1866BAAF"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lastRenderedPageBreak/>
        <w:t xml:space="preserve">Marsland, D., Oakes, P., &amp; White, C. (2007). Abuse in care? The identification of early indicators of the abuse of people with learning disabilities in residential settings. </w:t>
      </w:r>
      <w:r w:rsidRPr="00E51FA9">
        <w:rPr>
          <w:rFonts w:asciiTheme="majorBidi" w:hAnsiTheme="majorBidi" w:cstheme="majorBidi"/>
          <w:i/>
          <w:iCs/>
          <w:sz w:val="24"/>
          <w:szCs w:val="24"/>
        </w:rPr>
        <w:t>The Journal of Adult Protection, 9</w:t>
      </w:r>
      <w:r w:rsidRPr="00FD6865">
        <w:rPr>
          <w:rFonts w:asciiTheme="majorBidi" w:hAnsiTheme="majorBidi" w:cstheme="majorBidi"/>
          <w:iCs/>
          <w:sz w:val="24"/>
          <w:szCs w:val="24"/>
        </w:rPr>
        <w:t>(4)</w:t>
      </w:r>
      <w:r w:rsidRPr="005425FE">
        <w:rPr>
          <w:rFonts w:asciiTheme="majorBidi" w:hAnsiTheme="majorBidi" w:cstheme="majorBidi"/>
          <w:sz w:val="24"/>
          <w:szCs w:val="24"/>
        </w:rPr>
        <w:t>,</w:t>
      </w:r>
      <w:r w:rsidRPr="00E51FA9">
        <w:rPr>
          <w:rFonts w:asciiTheme="majorBidi" w:hAnsiTheme="majorBidi" w:cstheme="majorBidi"/>
          <w:sz w:val="24"/>
          <w:szCs w:val="24"/>
        </w:rPr>
        <w:t xml:space="preserve"> 6-20.</w:t>
      </w:r>
    </w:p>
    <w:p w14:paraId="13296E0E" w14:textId="77777777" w:rsidR="00B10D81" w:rsidRDefault="00B10D81" w:rsidP="00B10D81">
      <w:pPr>
        <w:spacing w:after="60"/>
        <w:rPr>
          <w:rFonts w:asciiTheme="majorBidi" w:hAnsiTheme="majorBidi" w:cstheme="majorBidi"/>
          <w:sz w:val="24"/>
          <w:szCs w:val="24"/>
        </w:rPr>
      </w:pPr>
    </w:p>
    <w:p w14:paraId="7FE865AF"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Mazzucchelli, T. G. (2001). Feel safe: A pilot study of a protective behaviours programme for people with intellectual disability. </w:t>
      </w:r>
      <w:r w:rsidRPr="00E51FA9">
        <w:rPr>
          <w:rFonts w:asciiTheme="majorBidi" w:hAnsiTheme="majorBidi" w:cstheme="majorBidi"/>
          <w:i/>
          <w:iCs/>
          <w:sz w:val="24"/>
          <w:szCs w:val="24"/>
        </w:rPr>
        <w:t>Journal of Intellectual and Developmental Disability, 26</w:t>
      </w:r>
      <w:r w:rsidRPr="00FD6865">
        <w:rPr>
          <w:rFonts w:asciiTheme="majorBidi" w:hAnsiTheme="majorBidi" w:cstheme="majorBidi"/>
          <w:iCs/>
          <w:sz w:val="24"/>
          <w:szCs w:val="24"/>
        </w:rPr>
        <w:t>(2),</w:t>
      </w:r>
      <w:r w:rsidRPr="00E51FA9">
        <w:rPr>
          <w:rFonts w:asciiTheme="majorBidi" w:hAnsiTheme="majorBidi" w:cstheme="majorBidi"/>
          <w:sz w:val="24"/>
          <w:szCs w:val="24"/>
        </w:rPr>
        <w:t xml:space="preserve"> 115-126.</w:t>
      </w:r>
    </w:p>
    <w:p w14:paraId="1191F3D9"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27447651"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 xml:space="preserve">McCarthy, M. (1998). Sexual violence against women with learning disabilities. </w:t>
      </w:r>
      <w:r w:rsidRPr="00E51FA9">
        <w:rPr>
          <w:rFonts w:asciiTheme="majorBidi" w:hAnsiTheme="majorBidi" w:cstheme="majorBidi"/>
          <w:i/>
          <w:iCs/>
          <w:sz w:val="24"/>
          <w:szCs w:val="24"/>
        </w:rPr>
        <w:t>Feminism &amp; Psychology, 8</w:t>
      </w:r>
      <w:r w:rsidRPr="00FD6865">
        <w:rPr>
          <w:rFonts w:asciiTheme="majorBidi" w:hAnsiTheme="majorBidi" w:cstheme="majorBidi"/>
          <w:iCs/>
          <w:sz w:val="24"/>
          <w:szCs w:val="24"/>
        </w:rPr>
        <w:t>(4),</w:t>
      </w:r>
      <w:r w:rsidRPr="00E51FA9">
        <w:rPr>
          <w:rFonts w:asciiTheme="majorBidi" w:hAnsiTheme="majorBidi" w:cstheme="majorBidi"/>
          <w:sz w:val="24"/>
          <w:szCs w:val="24"/>
        </w:rPr>
        <w:t xml:space="preserve"> 544-551.</w:t>
      </w:r>
    </w:p>
    <w:p w14:paraId="087BDAE5" w14:textId="77777777" w:rsidR="00A44B87" w:rsidRPr="00E51FA9" w:rsidRDefault="00A44B87" w:rsidP="00B10D81">
      <w:pPr>
        <w:spacing w:after="60"/>
        <w:rPr>
          <w:rFonts w:asciiTheme="majorBidi" w:hAnsiTheme="majorBidi" w:cstheme="majorBidi"/>
          <w:sz w:val="24"/>
          <w:szCs w:val="24"/>
        </w:rPr>
      </w:pPr>
    </w:p>
    <w:p w14:paraId="12893206"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McCartney, J. R., &amp; Campbell, V. A. (1998). Confirmed abuse cases in public residential facilities for persons with mental retardation: A multi-state study. </w:t>
      </w:r>
      <w:r w:rsidRPr="00E51FA9">
        <w:rPr>
          <w:rFonts w:asciiTheme="majorBidi" w:hAnsiTheme="majorBidi" w:cstheme="majorBidi"/>
          <w:i/>
          <w:iCs/>
          <w:sz w:val="24"/>
          <w:szCs w:val="24"/>
        </w:rPr>
        <w:t>Mental Retardation, 36</w:t>
      </w:r>
      <w:r w:rsidRPr="00FD6865">
        <w:rPr>
          <w:rFonts w:asciiTheme="majorBidi" w:hAnsiTheme="majorBidi" w:cstheme="majorBidi"/>
          <w:iCs/>
          <w:sz w:val="24"/>
          <w:szCs w:val="24"/>
        </w:rPr>
        <w:t>(6),</w:t>
      </w:r>
      <w:r w:rsidRPr="00E51FA9">
        <w:rPr>
          <w:rFonts w:asciiTheme="majorBidi" w:hAnsiTheme="majorBidi" w:cstheme="majorBidi"/>
          <w:sz w:val="24"/>
          <w:szCs w:val="24"/>
        </w:rPr>
        <w:t xml:space="preserve"> 465-473.</w:t>
      </w:r>
    </w:p>
    <w:p w14:paraId="3450D7D0" w14:textId="77777777" w:rsidR="00A44B87" w:rsidRPr="00E51FA9" w:rsidRDefault="00A44B87" w:rsidP="00B10D81">
      <w:pPr>
        <w:spacing w:after="60"/>
        <w:rPr>
          <w:rFonts w:asciiTheme="majorBidi" w:hAnsiTheme="majorBidi" w:cstheme="majorBidi"/>
          <w:sz w:val="24"/>
          <w:szCs w:val="24"/>
        </w:rPr>
      </w:pPr>
    </w:p>
    <w:p w14:paraId="1C7412EB"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McKinstry, C., Brown, T., &amp; Gustafsson, L. (2014). Scoping reviews in occupational therapy: The what, why, and how to. </w:t>
      </w:r>
      <w:r w:rsidRPr="00E51FA9">
        <w:rPr>
          <w:rFonts w:asciiTheme="majorBidi" w:hAnsiTheme="majorBidi" w:cstheme="majorBidi"/>
          <w:i/>
          <w:iCs/>
          <w:sz w:val="24"/>
          <w:szCs w:val="24"/>
        </w:rPr>
        <w:t>Australian occupational therapy journal, 61</w:t>
      </w:r>
      <w:r w:rsidRPr="00FD6865">
        <w:rPr>
          <w:rFonts w:asciiTheme="majorBidi" w:hAnsiTheme="majorBidi" w:cstheme="majorBidi"/>
          <w:iCs/>
          <w:sz w:val="24"/>
          <w:szCs w:val="24"/>
        </w:rPr>
        <w:t>(2),</w:t>
      </w:r>
      <w:r w:rsidRPr="00E51FA9">
        <w:rPr>
          <w:rFonts w:asciiTheme="majorBidi" w:hAnsiTheme="majorBidi" w:cstheme="majorBidi"/>
          <w:sz w:val="24"/>
          <w:szCs w:val="24"/>
        </w:rPr>
        <w:t xml:space="preserve"> 58-66.</w:t>
      </w:r>
    </w:p>
    <w:p w14:paraId="2C06785F" w14:textId="77777777" w:rsidR="00A44B87" w:rsidRPr="00E51FA9" w:rsidRDefault="00A44B87" w:rsidP="00B10D81">
      <w:pPr>
        <w:spacing w:after="60"/>
        <w:rPr>
          <w:rFonts w:asciiTheme="majorBidi" w:hAnsiTheme="majorBidi" w:cstheme="majorBidi"/>
          <w:sz w:val="24"/>
          <w:szCs w:val="24"/>
        </w:rPr>
      </w:pPr>
    </w:p>
    <w:p w14:paraId="0F44946E"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McCormack, B., Kavanagh, D., Caffrey, S., &amp; Power, A. (2005). Investigating Sexual Abuse: Findings of a 15</w:t>
      </w:r>
      <w:r w:rsidRPr="00E51FA9">
        <w:rPr>
          <w:rFonts w:ascii="Calibri" w:eastAsia="Calibri" w:hAnsi="Calibri" w:cs="Calibri"/>
          <w:sz w:val="24"/>
          <w:szCs w:val="24"/>
        </w:rPr>
        <w:t>‐</w:t>
      </w:r>
      <w:r w:rsidRPr="00E51FA9">
        <w:rPr>
          <w:rFonts w:asciiTheme="majorBidi" w:hAnsiTheme="majorBidi" w:cstheme="majorBidi"/>
          <w:sz w:val="24"/>
          <w:szCs w:val="24"/>
        </w:rPr>
        <w:t xml:space="preserve">Year Longitudinal Study. </w:t>
      </w:r>
      <w:r w:rsidRPr="00E51FA9">
        <w:rPr>
          <w:rFonts w:asciiTheme="majorBidi" w:hAnsiTheme="majorBidi" w:cstheme="majorBidi"/>
          <w:i/>
          <w:iCs/>
          <w:sz w:val="24"/>
          <w:szCs w:val="24"/>
        </w:rPr>
        <w:t>Journal of Applied Research in Intellectual Disabilities, 18</w:t>
      </w:r>
      <w:r w:rsidRPr="00FD6865">
        <w:rPr>
          <w:rFonts w:asciiTheme="majorBidi" w:hAnsiTheme="majorBidi" w:cstheme="majorBidi"/>
          <w:iCs/>
          <w:sz w:val="24"/>
          <w:szCs w:val="24"/>
        </w:rPr>
        <w:t>(3),</w:t>
      </w:r>
      <w:r w:rsidRPr="00E51FA9">
        <w:rPr>
          <w:rFonts w:asciiTheme="majorBidi" w:hAnsiTheme="majorBidi" w:cstheme="majorBidi"/>
          <w:sz w:val="24"/>
          <w:szCs w:val="24"/>
        </w:rPr>
        <w:t xml:space="preserve"> 217-227.</w:t>
      </w:r>
    </w:p>
    <w:p w14:paraId="54FEF11D" w14:textId="77777777" w:rsidR="00A44B87" w:rsidRPr="00E51FA9" w:rsidRDefault="00A44B87" w:rsidP="00B10D81">
      <w:pPr>
        <w:spacing w:after="60"/>
        <w:rPr>
          <w:rFonts w:asciiTheme="majorBidi" w:hAnsiTheme="majorBidi" w:cstheme="majorBidi"/>
          <w:sz w:val="24"/>
          <w:szCs w:val="24"/>
        </w:rPr>
      </w:pPr>
    </w:p>
    <w:p w14:paraId="5374C55E" w14:textId="30F6F814"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McEwan, J., Bigby, C., &amp; Douglas, J. (2014). What are Victorian Disability Standards really measuring</w:t>
      </w:r>
      <w:r w:rsidR="005425FE">
        <w:rPr>
          <w:rFonts w:asciiTheme="majorBidi" w:hAnsiTheme="majorBidi" w:cstheme="majorBidi"/>
          <w:sz w:val="24"/>
          <w:szCs w:val="24"/>
        </w:rPr>
        <w:t>.</w:t>
      </w:r>
      <w:r w:rsidRPr="00E51FA9">
        <w:rPr>
          <w:rFonts w:asciiTheme="majorBidi" w:hAnsiTheme="majorBidi" w:cstheme="majorBidi"/>
          <w:sz w:val="24"/>
          <w:szCs w:val="24"/>
        </w:rPr>
        <w:t xml:space="preserve"> </w:t>
      </w:r>
      <w:hyperlink r:id="rId31" w:anchor="abstract" w:history="1">
        <w:r w:rsidRPr="00E51FA9">
          <w:rPr>
            <w:rFonts w:asciiTheme="majorBidi" w:hAnsiTheme="majorBidi" w:cstheme="majorBidi"/>
            <w:i/>
            <w:iCs/>
            <w:sz w:val="24"/>
            <w:szCs w:val="24"/>
          </w:rPr>
          <w:t>Research and Practice in Intellectual and Developmental Disability</w:t>
        </w:r>
      </w:hyperlink>
      <w:r w:rsidRPr="00E51FA9">
        <w:rPr>
          <w:rFonts w:asciiTheme="majorBidi" w:hAnsiTheme="majorBidi" w:cstheme="majorBidi"/>
          <w:i/>
          <w:iCs/>
          <w:sz w:val="24"/>
          <w:szCs w:val="24"/>
        </w:rPr>
        <w:t xml:space="preserve">, 2, </w:t>
      </w:r>
      <w:r w:rsidRPr="00E51FA9">
        <w:rPr>
          <w:rFonts w:asciiTheme="majorBidi" w:hAnsiTheme="majorBidi" w:cstheme="majorBidi"/>
          <w:sz w:val="24"/>
          <w:szCs w:val="24"/>
        </w:rPr>
        <w:t xml:space="preserve">283-295. </w:t>
      </w:r>
      <w:r w:rsidR="005425FE">
        <w:rPr>
          <w:rFonts w:asciiTheme="majorBidi" w:hAnsiTheme="majorBidi" w:cstheme="majorBidi"/>
          <w:sz w:val="24"/>
          <w:szCs w:val="24"/>
        </w:rPr>
        <w:t xml:space="preserve">Doi: </w:t>
      </w:r>
      <w:r w:rsidRPr="00E51FA9">
        <w:rPr>
          <w:rFonts w:asciiTheme="majorBidi" w:hAnsiTheme="majorBidi" w:cstheme="majorBidi"/>
          <w:sz w:val="24"/>
          <w:szCs w:val="24"/>
        </w:rPr>
        <w:t xml:space="preserve">10.1080/23297018.2014.956385 </w:t>
      </w:r>
    </w:p>
    <w:p w14:paraId="555DA5BA" w14:textId="77777777" w:rsidR="005425FE" w:rsidRDefault="005425FE" w:rsidP="00B10D81">
      <w:pPr>
        <w:widowControl w:val="0"/>
        <w:autoSpaceDE w:val="0"/>
        <w:autoSpaceDN w:val="0"/>
        <w:adjustRightInd w:val="0"/>
        <w:spacing w:after="60"/>
        <w:rPr>
          <w:rFonts w:asciiTheme="majorBidi" w:hAnsiTheme="majorBidi" w:cstheme="majorBidi"/>
          <w:sz w:val="24"/>
          <w:szCs w:val="24"/>
        </w:rPr>
      </w:pPr>
    </w:p>
    <w:p w14:paraId="41C48D33" w14:textId="5F13DF42"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Meloy, J. R. (2002</w:t>
      </w:r>
      <w:r w:rsidR="00C970A2">
        <w:rPr>
          <w:rFonts w:asciiTheme="majorBidi" w:hAnsiTheme="majorBidi" w:cstheme="majorBidi"/>
          <w:sz w:val="24"/>
          <w:szCs w:val="24"/>
        </w:rPr>
        <w:t>a</w:t>
      </w:r>
      <w:r w:rsidRPr="00E51FA9">
        <w:rPr>
          <w:rFonts w:asciiTheme="majorBidi" w:hAnsiTheme="majorBidi" w:cstheme="majorBidi"/>
          <w:sz w:val="24"/>
          <w:szCs w:val="24"/>
        </w:rPr>
        <w:t xml:space="preserve">). Stalking and violence. </w:t>
      </w:r>
      <w:r w:rsidRPr="00E51FA9">
        <w:rPr>
          <w:rFonts w:asciiTheme="majorBidi" w:hAnsiTheme="majorBidi" w:cstheme="majorBidi"/>
          <w:i/>
          <w:iCs/>
          <w:sz w:val="24"/>
          <w:szCs w:val="24"/>
        </w:rPr>
        <w:t>Stalking and psychosexual obsession</w:t>
      </w:r>
      <w:r w:rsidRPr="00E51FA9">
        <w:rPr>
          <w:rFonts w:asciiTheme="majorBidi" w:hAnsiTheme="majorBidi" w:cstheme="majorBidi"/>
          <w:sz w:val="24"/>
          <w:szCs w:val="24"/>
        </w:rPr>
        <w:t>, 105-124.</w:t>
      </w:r>
    </w:p>
    <w:p w14:paraId="2C69C681"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70F108B2" w14:textId="6B30B10D"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Meloy, J. R. (2002</w:t>
      </w:r>
      <w:r w:rsidR="00C970A2">
        <w:rPr>
          <w:rFonts w:asciiTheme="majorBidi" w:hAnsiTheme="majorBidi" w:cstheme="majorBidi"/>
          <w:sz w:val="24"/>
          <w:szCs w:val="24"/>
        </w:rPr>
        <w:t>b</w:t>
      </w:r>
      <w:r w:rsidRPr="00E51FA9">
        <w:rPr>
          <w:rFonts w:asciiTheme="majorBidi" w:hAnsiTheme="majorBidi" w:cstheme="majorBidi"/>
          <w:sz w:val="24"/>
          <w:szCs w:val="24"/>
        </w:rPr>
        <w:t>). The "polymorphously perverse" psychopath: Understanding a strong empirical relationship.</w:t>
      </w:r>
      <w:r w:rsidRPr="00E51FA9">
        <w:rPr>
          <w:rFonts w:asciiTheme="majorBidi" w:hAnsiTheme="majorBidi" w:cstheme="majorBidi"/>
          <w:i/>
          <w:iCs/>
          <w:sz w:val="24"/>
          <w:szCs w:val="24"/>
        </w:rPr>
        <w:t xml:space="preserve"> Bulletin of the Menninger Clinic, 66</w:t>
      </w:r>
      <w:r w:rsidRPr="00E51FA9">
        <w:rPr>
          <w:rFonts w:asciiTheme="majorBidi" w:hAnsiTheme="majorBidi" w:cstheme="majorBidi"/>
          <w:sz w:val="24"/>
          <w:szCs w:val="24"/>
        </w:rPr>
        <w:t>(3), 273-289. doi:</w:t>
      </w:r>
      <w:r w:rsidR="003B51D0">
        <w:rPr>
          <w:rFonts w:asciiTheme="majorBidi" w:hAnsiTheme="majorBidi" w:cstheme="majorBidi"/>
          <w:sz w:val="24"/>
          <w:szCs w:val="24"/>
        </w:rPr>
        <w:t xml:space="preserve"> </w:t>
      </w:r>
      <w:r w:rsidRPr="00E51FA9">
        <w:rPr>
          <w:rFonts w:asciiTheme="majorBidi" w:hAnsiTheme="majorBidi" w:cstheme="majorBidi"/>
          <w:sz w:val="24"/>
          <w:szCs w:val="24"/>
        </w:rPr>
        <w:t>101521bumc66327323368</w:t>
      </w:r>
    </w:p>
    <w:p w14:paraId="69E77997" w14:textId="77777777" w:rsidR="00A44B87" w:rsidRPr="00E51FA9" w:rsidRDefault="00A44B87" w:rsidP="00B10D81">
      <w:pPr>
        <w:spacing w:after="60"/>
        <w:rPr>
          <w:rFonts w:asciiTheme="majorBidi" w:hAnsiTheme="majorBidi" w:cstheme="majorBidi"/>
          <w:sz w:val="24"/>
          <w:szCs w:val="24"/>
        </w:rPr>
      </w:pPr>
    </w:p>
    <w:p w14:paraId="70308978" w14:textId="4BFEACC6"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Mercy J. A.,</w:t>
      </w:r>
      <w:r w:rsidR="00D26856">
        <w:rPr>
          <w:rFonts w:asciiTheme="majorBidi" w:hAnsiTheme="majorBidi" w:cstheme="majorBidi"/>
          <w:sz w:val="24"/>
          <w:szCs w:val="24"/>
        </w:rPr>
        <w:t xml:space="preserve"> &amp;</w:t>
      </w:r>
      <w:r w:rsidRPr="00E51FA9">
        <w:rPr>
          <w:rFonts w:asciiTheme="majorBidi" w:hAnsiTheme="majorBidi" w:cstheme="majorBidi"/>
          <w:sz w:val="24"/>
          <w:szCs w:val="24"/>
        </w:rPr>
        <w:t xml:space="preserve"> Saul J. (2009). Creating a healthier future through early interventions for children. </w:t>
      </w:r>
      <w:r w:rsidRPr="00E51FA9">
        <w:rPr>
          <w:rFonts w:asciiTheme="majorBidi" w:hAnsiTheme="majorBidi" w:cstheme="majorBidi"/>
          <w:i/>
          <w:iCs/>
          <w:sz w:val="24"/>
          <w:szCs w:val="24"/>
        </w:rPr>
        <w:t>Journal of the American Medical Association, 301</w:t>
      </w:r>
      <w:r w:rsidRPr="00E51FA9">
        <w:rPr>
          <w:rFonts w:asciiTheme="majorBidi" w:hAnsiTheme="majorBidi" w:cstheme="majorBidi"/>
          <w:sz w:val="24"/>
          <w:szCs w:val="24"/>
        </w:rPr>
        <w:t>, 2262-2264</w:t>
      </w:r>
    </w:p>
    <w:p w14:paraId="1116A4DA" w14:textId="77777777" w:rsidR="00A44B87" w:rsidRPr="00E51FA9" w:rsidRDefault="00A44B87" w:rsidP="00B10D81">
      <w:pPr>
        <w:spacing w:after="60"/>
        <w:rPr>
          <w:rFonts w:asciiTheme="majorBidi" w:hAnsiTheme="majorBidi" w:cstheme="majorBidi"/>
          <w:sz w:val="24"/>
          <w:szCs w:val="24"/>
        </w:rPr>
      </w:pPr>
    </w:p>
    <w:p w14:paraId="2CBEF42C"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Mikton, C., &amp; Shakespeare, T. (2014). Introduction to special issue on violence against people with disability</w:t>
      </w:r>
      <w:r w:rsidRPr="00E51FA9">
        <w:rPr>
          <w:rFonts w:asciiTheme="majorBidi" w:hAnsiTheme="majorBidi" w:cstheme="majorBidi"/>
          <w:i/>
          <w:iCs/>
          <w:sz w:val="24"/>
          <w:szCs w:val="24"/>
        </w:rPr>
        <w:t>. Journal of interpersonal violence, 29</w:t>
      </w:r>
      <w:r w:rsidRPr="00FD6865">
        <w:rPr>
          <w:rFonts w:asciiTheme="majorBidi" w:hAnsiTheme="majorBidi" w:cstheme="majorBidi"/>
          <w:iCs/>
          <w:sz w:val="24"/>
          <w:szCs w:val="24"/>
        </w:rPr>
        <w:t>(17),</w:t>
      </w:r>
      <w:r w:rsidRPr="00E51FA9">
        <w:rPr>
          <w:rFonts w:asciiTheme="majorBidi" w:hAnsiTheme="majorBidi" w:cstheme="majorBidi"/>
          <w:sz w:val="24"/>
          <w:szCs w:val="24"/>
        </w:rPr>
        <w:t xml:space="preserve"> 3055-3062.</w:t>
      </w:r>
    </w:p>
    <w:p w14:paraId="34A9FF92" w14:textId="77777777" w:rsidR="00A44B87" w:rsidRPr="00E51FA9" w:rsidRDefault="00A44B87" w:rsidP="00B10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ajorBidi" w:hAnsiTheme="majorBidi" w:cstheme="majorBidi"/>
          <w:sz w:val="24"/>
          <w:szCs w:val="24"/>
        </w:rPr>
      </w:pPr>
    </w:p>
    <w:p w14:paraId="3DE3FA4D" w14:textId="77777777" w:rsidR="005B3587"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Mikton, C., Maguire, H., Shakespeare, T., (2014). A systematic review of the effectiveness of interventions to prevent and respond to violence against persons with disabilities. </w:t>
      </w:r>
      <w:r w:rsidRPr="00E51FA9">
        <w:rPr>
          <w:rFonts w:asciiTheme="majorBidi" w:hAnsiTheme="majorBidi" w:cstheme="majorBidi"/>
          <w:i/>
          <w:iCs/>
          <w:sz w:val="24"/>
          <w:szCs w:val="24"/>
        </w:rPr>
        <w:t>Journal of Interpersonal Violence.,</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29</w:t>
      </w:r>
      <w:r w:rsidRPr="00E51FA9">
        <w:rPr>
          <w:rFonts w:asciiTheme="majorBidi" w:hAnsiTheme="majorBidi" w:cstheme="majorBidi"/>
          <w:sz w:val="24"/>
          <w:szCs w:val="24"/>
        </w:rPr>
        <w:t>(17), 3207-3226.</w:t>
      </w:r>
      <w:r w:rsidR="00D26856">
        <w:rPr>
          <w:rFonts w:asciiTheme="majorBidi" w:hAnsiTheme="majorBidi" w:cstheme="majorBidi"/>
          <w:sz w:val="24"/>
          <w:szCs w:val="24"/>
        </w:rPr>
        <w:t xml:space="preserve"> </w:t>
      </w:r>
      <w:r w:rsidRPr="00E51FA9">
        <w:rPr>
          <w:rFonts w:asciiTheme="majorBidi" w:hAnsiTheme="majorBidi" w:cstheme="majorBidi"/>
          <w:sz w:val="24"/>
          <w:szCs w:val="24"/>
        </w:rPr>
        <w:t>D</w:t>
      </w:r>
      <w:r w:rsidR="00D26856">
        <w:rPr>
          <w:rFonts w:asciiTheme="majorBidi" w:hAnsiTheme="majorBidi" w:cstheme="majorBidi"/>
          <w:sz w:val="24"/>
          <w:szCs w:val="24"/>
        </w:rPr>
        <w:t>oi</w:t>
      </w:r>
      <w:r w:rsidRPr="00E51FA9">
        <w:rPr>
          <w:rFonts w:asciiTheme="majorBidi" w:hAnsiTheme="majorBidi" w:cstheme="majorBidi"/>
          <w:sz w:val="24"/>
          <w:szCs w:val="24"/>
        </w:rPr>
        <w:t xml:space="preserve">: 10.1177/0886260514534530 </w:t>
      </w:r>
    </w:p>
    <w:p w14:paraId="7EF7E1FB" w14:textId="77777777" w:rsidR="005B3587" w:rsidRDefault="005B3587" w:rsidP="00B10D81">
      <w:pPr>
        <w:spacing w:after="60"/>
        <w:rPr>
          <w:rFonts w:asciiTheme="majorBidi" w:hAnsiTheme="majorBidi" w:cstheme="majorBidi"/>
          <w:sz w:val="24"/>
          <w:szCs w:val="24"/>
        </w:rPr>
      </w:pPr>
    </w:p>
    <w:p w14:paraId="709F7E21" w14:textId="06A55E70"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Moore, D. (2001). Friend or foe?: A selective review of literature concerning abuse of adults with learning disability by those employed to care for them. </w:t>
      </w:r>
      <w:r w:rsidRPr="00E51FA9">
        <w:rPr>
          <w:rFonts w:asciiTheme="majorBidi" w:hAnsiTheme="majorBidi" w:cstheme="majorBidi"/>
          <w:i/>
          <w:iCs/>
          <w:sz w:val="24"/>
          <w:szCs w:val="24"/>
        </w:rPr>
        <w:t>Journal of Intellectual Disabilities, 5</w:t>
      </w:r>
      <w:r w:rsidRPr="00E51FA9">
        <w:rPr>
          <w:rFonts w:asciiTheme="majorBidi" w:hAnsiTheme="majorBidi" w:cstheme="majorBidi"/>
          <w:sz w:val="24"/>
          <w:szCs w:val="24"/>
        </w:rPr>
        <w:t>, 245-258.</w:t>
      </w:r>
    </w:p>
    <w:p w14:paraId="31B6ABFA"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47F0768D" w14:textId="7BDCCB4E"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 xml:space="preserve">Mouilso, E. L. </w:t>
      </w:r>
      <w:r w:rsidR="005D117F">
        <w:rPr>
          <w:rFonts w:asciiTheme="majorBidi" w:hAnsiTheme="majorBidi" w:cstheme="majorBidi"/>
          <w:sz w:val="24"/>
          <w:szCs w:val="24"/>
        </w:rPr>
        <w:t>&amp;</w:t>
      </w:r>
      <w:r w:rsidR="005D117F" w:rsidRPr="00E51FA9">
        <w:rPr>
          <w:rFonts w:asciiTheme="majorBidi" w:hAnsiTheme="majorBidi" w:cstheme="majorBidi"/>
          <w:sz w:val="24"/>
          <w:szCs w:val="24"/>
        </w:rPr>
        <w:t xml:space="preserve"> </w:t>
      </w:r>
      <w:r w:rsidRPr="00E51FA9">
        <w:rPr>
          <w:rFonts w:asciiTheme="majorBidi" w:hAnsiTheme="majorBidi" w:cstheme="majorBidi"/>
          <w:sz w:val="24"/>
          <w:szCs w:val="24"/>
        </w:rPr>
        <w:t xml:space="preserve">Calhoun, K.S (2016). Personality and perpetration: Narcissism among college </w:t>
      </w:r>
      <w:r w:rsidRPr="00E51FA9">
        <w:rPr>
          <w:rFonts w:asciiTheme="majorBidi" w:hAnsiTheme="majorBidi" w:cstheme="majorBidi"/>
          <w:sz w:val="24"/>
          <w:szCs w:val="24"/>
        </w:rPr>
        <w:lastRenderedPageBreak/>
        <w:t xml:space="preserve">sexual assault perpetrators. </w:t>
      </w:r>
      <w:r w:rsidRPr="00E51FA9">
        <w:rPr>
          <w:rFonts w:asciiTheme="majorBidi" w:hAnsiTheme="majorBidi" w:cstheme="majorBidi"/>
          <w:i/>
          <w:iCs/>
          <w:sz w:val="24"/>
          <w:szCs w:val="24"/>
        </w:rPr>
        <w:t>Violence against Women,</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22</w:t>
      </w:r>
      <w:r w:rsidRPr="00E51FA9">
        <w:rPr>
          <w:rFonts w:asciiTheme="majorBidi" w:hAnsiTheme="majorBidi" w:cstheme="majorBidi"/>
          <w:sz w:val="24"/>
          <w:szCs w:val="24"/>
        </w:rPr>
        <w:t>(10), 1228-1242.</w:t>
      </w:r>
    </w:p>
    <w:p w14:paraId="6F00EC2A" w14:textId="77777777" w:rsidR="00A44B87" w:rsidRPr="00E51FA9" w:rsidRDefault="00A44B87" w:rsidP="00B10D81">
      <w:pPr>
        <w:spacing w:after="60"/>
        <w:rPr>
          <w:rFonts w:asciiTheme="majorBidi" w:hAnsiTheme="majorBidi" w:cstheme="majorBidi"/>
          <w:sz w:val="24"/>
          <w:szCs w:val="24"/>
        </w:rPr>
      </w:pPr>
    </w:p>
    <w:p w14:paraId="11710B82" w14:textId="1BA89979"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Murphy G. (2007) Intellectual disabilities, sexual abuse and sexual offending. In: </w:t>
      </w:r>
      <w:r w:rsidRPr="00E51FA9">
        <w:rPr>
          <w:rFonts w:asciiTheme="majorBidi" w:hAnsiTheme="majorBidi" w:cstheme="majorBidi"/>
          <w:i/>
          <w:iCs/>
          <w:sz w:val="24"/>
          <w:szCs w:val="24"/>
        </w:rPr>
        <w:t>Handbook of Intellectual Disability and Clinical Psychology Practice</w:t>
      </w:r>
      <w:r w:rsidRPr="00E51FA9">
        <w:rPr>
          <w:rFonts w:asciiTheme="majorBidi" w:hAnsiTheme="majorBidi" w:cstheme="majorBidi"/>
          <w:sz w:val="24"/>
          <w:szCs w:val="24"/>
        </w:rPr>
        <w:t xml:space="preserve"> (eds A.Carr, G.O'Reilly, P.Noonan Walsh &amp; J.McEvoy), pp. 831–66. London</w:t>
      </w:r>
      <w:r w:rsidR="001639B5">
        <w:rPr>
          <w:rFonts w:asciiTheme="majorBidi" w:hAnsiTheme="majorBidi" w:cstheme="majorBidi"/>
          <w:sz w:val="24"/>
          <w:szCs w:val="24"/>
        </w:rPr>
        <w:t>, UK:</w:t>
      </w:r>
      <w:r w:rsidR="001639B5" w:rsidRPr="001639B5">
        <w:rPr>
          <w:rFonts w:asciiTheme="majorBidi" w:hAnsiTheme="majorBidi" w:cstheme="majorBidi"/>
          <w:sz w:val="24"/>
          <w:szCs w:val="24"/>
        </w:rPr>
        <w:t xml:space="preserve"> </w:t>
      </w:r>
      <w:r w:rsidR="001639B5" w:rsidRPr="00E51FA9">
        <w:rPr>
          <w:rFonts w:asciiTheme="majorBidi" w:hAnsiTheme="majorBidi" w:cstheme="majorBidi"/>
          <w:sz w:val="24"/>
          <w:szCs w:val="24"/>
        </w:rPr>
        <w:t>Routledge</w:t>
      </w:r>
      <w:r w:rsidRPr="00E51FA9">
        <w:rPr>
          <w:rFonts w:asciiTheme="majorBidi" w:hAnsiTheme="majorBidi" w:cstheme="majorBidi"/>
          <w:sz w:val="24"/>
          <w:szCs w:val="24"/>
        </w:rPr>
        <w:t>.</w:t>
      </w:r>
    </w:p>
    <w:p w14:paraId="38D344A2" w14:textId="77777777" w:rsidR="00A44B87" w:rsidRPr="00E51FA9" w:rsidRDefault="00A44B87" w:rsidP="00B10D81">
      <w:pPr>
        <w:spacing w:after="60"/>
        <w:rPr>
          <w:rFonts w:asciiTheme="majorBidi" w:hAnsiTheme="majorBidi" w:cstheme="majorBidi"/>
          <w:sz w:val="24"/>
          <w:szCs w:val="24"/>
        </w:rPr>
      </w:pPr>
    </w:p>
    <w:p w14:paraId="1BFCBC7E" w14:textId="1321ABE7" w:rsidR="00A44B87" w:rsidRPr="00E51FA9" w:rsidRDefault="00A44B87" w:rsidP="00B10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 xml:space="preserve">Murphy, G., O'Callaghan, A., </w:t>
      </w:r>
      <w:r w:rsidR="005D117F">
        <w:rPr>
          <w:rFonts w:asciiTheme="majorBidi" w:hAnsiTheme="majorBidi" w:cstheme="majorBidi"/>
          <w:sz w:val="24"/>
          <w:szCs w:val="24"/>
        </w:rPr>
        <w:t xml:space="preserve">&amp; </w:t>
      </w:r>
      <w:r w:rsidRPr="00E51FA9">
        <w:rPr>
          <w:rFonts w:asciiTheme="majorBidi" w:hAnsiTheme="majorBidi" w:cstheme="majorBidi"/>
          <w:sz w:val="24"/>
          <w:szCs w:val="24"/>
        </w:rPr>
        <w:t xml:space="preserve">Clare, I. (2007). The impact of alleged abuse on behaviour in adults with severe intellectual disabilities. </w:t>
      </w:r>
      <w:r w:rsidRPr="00E51FA9">
        <w:rPr>
          <w:rFonts w:asciiTheme="majorBidi" w:hAnsiTheme="majorBidi" w:cstheme="majorBidi"/>
          <w:i/>
          <w:iCs/>
          <w:sz w:val="24"/>
          <w:szCs w:val="24"/>
        </w:rPr>
        <w:t>Journal of Intellectual Disability Research.,</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51</w:t>
      </w:r>
      <w:r w:rsidRPr="00E51FA9">
        <w:rPr>
          <w:rFonts w:asciiTheme="majorBidi" w:hAnsiTheme="majorBidi" w:cstheme="majorBidi"/>
          <w:sz w:val="24"/>
          <w:szCs w:val="24"/>
        </w:rPr>
        <w:t>(10), 741-749. doi: 10.1111/j.1365</w:t>
      </w:r>
    </w:p>
    <w:p w14:paraId="49D7E5BF" w14:textId="77777777" w:rsidR="00A44B87" w:rsidRDefault="00A44B87" w:rsidP="00B10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ajorBidi" w:hAnsiTheme="majorBidi" w:cstheme="majorBidi"/>
          <w:bCs/>
          <w:sz w:val="24"/>
          <w:szCs w:val="24"/>
        </w:rPr>
      </w:pPr>
    </w:p>
    <w:p w14:paraId="7C54A8A6" w14:textId="7783AAF3" w:rsidR="007131B3" w:rsidRDefault="007131B3" w:rsidP="00B10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ajorBidi" w:hAnsiTheme="majorBidi" w:cstheme="majorBidi"/>
          <w:bCs/>
          <w:sz w:val="24"/>
          <w:szCs w:val="24"/>
        </w:rPr>
      </w:pPr>
      <w:r>
        <w:rPr>
          <w:rFonts w:asciiTheme="majorBidi" w:hAnsiTheme="majorBidi" w:cstheme="majorBidi"/>
          <w:bCs/>
          <w:sz w:val="24"/>
          <w:szCs w:val="24"/>
        </w:rPr>
        <w:t xml:space="preserve">National Disability Administrators. (2002). </w:t>
      </w:r>
      <w:r>
        <w:rPr>
          <w:rFonts w:asciiTheme="majorBidi" w:hAnsiTheme="majorBidi" w:cstheme="majorBidi"/>
          <w:bCs/>
          <w:i/>
          <w:sz w:val="24"/>
          <w:szCs w:val="24"/>
        </w:rPr>
        <w:t>Abuse prevention strategies in specialist disability services.</w:t>
      </w:r>
      <w:r>
        <w:rPr>
          <w:rFonts w:asciiTheme="majorBidi" w:hAnsiTheme="majorBidi" w:cstheme="majorBidi"/>
          <w:bCs/>
          <w:sz w:val="24"/>
          <w:szCs w:val="24"/>
        </w:rPr>
        <w:t xml:space="preserve"> </w:t>
      </w:r>
      <w:r w:rsidR="00861FCE">
        <w:rPr>
          <w:rFonts w:asciiTheme="majorBidi" w:hAnsiTheme="majorBidi" w:cstheme="majorBidi"/>
          <w:bCs/>
          <w:sz w:val="24"/>
          <w:szCs w:val="24"/>
        </w:rPr>
        <w:t>Retrieved</w:t>
      </w:r>
      <w:r>
        <w:rPr>
          <w:rFonts w:asciiTheme="majorBidi" w:hAnsiTheme="majorBidi" w:cstheme="majorBidi"/>
          <w:bCs/>
          <w:sz w:val="24"/>
          <w:szCs w:val="24"/>
        </w:rPr>
        <w:t xml:space="preserve"> from </w:t>
      </w:r>
      <w:hyperlink r:id="rId32" w:history="1">
        <w:r w:rsidRPr="00C64B1F">
          <w:rPr>
            <w:rStyle w:val="Hyperlink"/>
            <w:rFonts w:asciiTheme="majorBidi" w:hAnsiTheme="majorBidi" w:cstheme="majorBidi"/>
            <w:bCs/>
            <w:color w:val="auto"/>
            <w:sz w:val="24"/>
            <w:szCs w:val="24"/>
            <w:u w:val="none"/>
          </w:rPr>
          <w:t>http://www.stvp.org.au/documents/Compendium/Tools,%20Guidelines%20and%20Internal%20Policy%20Development/Abuse%20Prevention%20Strategies%20in%20Specialist%20Disability%20Services%20AUS%202002.pdf</w:t>
        </w:r>
      </w:hyperlink>
      <w:r w:rsidRPr="00460210">
        <w:rPr>
          <w:rFonts w:asciiTheme="majorBidi" w:hAnsiTheme="majorBidi" w:cstheme="majorBidi"/>
          <w:bCs/>
          <w:sz w:val="24"/>
          <w:szCs w:val="24"/>
        </w:rPr>
        <w:t xml:space="preserve"> </w:t>
      </w:r>
    </w:p>
    <w:p w14:paraId="18CFD74B" w14:textId="77777777" w:rsidR="007131B3" w:rsidRDefault="007131B3" w:rsidP="00B10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ajorBidi" w:hAnsiTheme="majorBidi" w:cstheme="majorBidi"/>
          <w:bCs/>
          <w:sz w:val="24"/>
          <w:szCs w:val="24"/>
        </w:rPr>
      </w:pPr>
    </w:p>
    <w:p w14:paraId="564D2B5F" w14:textId="60706D5D" w:rsidR="00937EBD" w:rsidRPr="00E51FA9" w:rsidRDefault="00937EBD" w:rsidP="00B10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Theme="majorBidi" w:hAnsiTheme="majorBidi" w:cstheme="majorBidi"/>
          <w:bCs/>
          <w:sz w:val="24"/>
          <w:szCs w:val="24"/>
        </w:rPr>
      </w:pPr>
      <w:r>
        <w:rPr>
          <w:rFonts w:asciiTheme="majorBidi" w:hAnsiTheme="majorBidi" w:cstheme="majorBidi"/>
          <w:bCs/>
          <w:sz w:val="24"/>
          <w:szCs w:val="24"/>
        </w:rPr>
        <w:t>National Disability Services (20</w:t>
      </w:r>
      <w:r w:rsidR="005D117F">
        <w:rPr>
          <w:rFonts w:asciiTheme="majorBidi" w:hAnsiTheme="majorBidi" w:cstheme="majorBidi"/>
          <w:bCs/>
          <w:sz w:val="24"/>
          <w:szCs w:val="24"/>
        </w:rPr>
        <w:t>1</w:t>
      </w:r>
      <w:r>
        <w:rPr>
          <w:rFonts w:asciiTheme="majorBidi" w:hAnsiTheme="majorBidi" w:cstheme="majorBidi"/>
          <w:bCs/>
          <w:sz w:val="24"/>
          <w:szCs w:val="24"/>
        </w:rPr>
        <w:t xml:space="preserve">6). </w:t>
      </w:r>
      <w:r w:rsidRPr="00FD6865">
        <w:rPr>
          <w:rFonts w:asciiTheme="majorBidi" w:hAnsiTheme="majorBidi" w:cstheme="majorBidi"/>
          <w:bCs/>
          <w:i/>
          <w:sz w:val="24"/>
          <w:szCs w:val="24"/>
        </w:rPr>
        <w:t>Zero Tolerance framework.</w:t>
      </w:r>
      <w:r>
        <w:rPr>
          <w:rFonts w:asciiTheme="majorBidi" w:hAnsiTheme="majorBidi" w:cstheme="majorBidi"/>
          <w:bCs/>
          <w:sz w:val="24"/>
          <w:szCs w:val="24"/>
        </w:rPr>
        <w:t xml:space="preserve"> </w:t>
      </w:r>
      <w:r w:rsidR="0039445C">
        <w:rPr>
          <w:rFonts w:asciiTheme="majorBidi" w:hAnsiTheme="majorBidi" w:cstheme="majorBidi"/>
          <w:bCs/>
          <w:sz w:val="24"/>
          <w:szCs w:val="24"/>
        </w:rPr>
        <w:t xml:space="preserve">Retrieved </w:t>
      </w:r>
      <w:r>
        <w:rPr>
          <w:rFonts w:asciiTheme="majorBidi" w:hAnsiTheme="majorBidi" w:cstheme="majorBidi"/>
          <w:bCs/>
          <w:sz w:val="24"/>
          <w:szCs w:val="24"/>
        </w:rPr>
        <w:t xml:space="preserve">from   </w:t>
      </w:r>
      <w:hyperlink r:id="rId33" w:history="1">
        <w:r w:rsidRPr="00C64B1F">
          <w:rPr>
            <w:rStyle w:val="Hyperlink"/>
            <w:rFonts w:asciiTheme="majorBidi" w:hAnsiTheme="majorBidi" w:cstheme="majorBidi"/>
            <w:bCs/>
            <w:color w:val="auto"/>
            <w:sz w:val="24"/>
            <w:szCs w:val="24"/>
            <w:u w:val="none"/>
          </w:rPr>
          <w:t>https://www.nds.org.au/resources/zero-tolerance</w:t>
        </w:r>
      </w:hyperlink>
    </w:p>
    <w:p w14:paraId="67663005" w14:textId="77777777" w:rsidR="00937EBD" w:rsidRDefault="00937EBD" w:rsidP="00B10D81">
      <w:pPr>
        <w:spacing w:after="60"/>
        <w:rPr>
          <w:rFonts w:asciiTheme="majorBidi" w:hAnsiTheme="majorBidi" w:cstheme="majorBidi"/>
          <w:sz w:val="24"/>
          <w:szCs w:val="24"/>
        </w:rPr>
      </w:pPr>
    </w:p>
    <w:p w14:paraId="7A959E29"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Northway, R., Davies, R., Mansell, I., &amp; Jenkins, R. (2007). “Policies don’t protect people, it’s how they are implemented”: Policy and practice in protecting people with learning disabilities from abuse. </w:t>
      </w:r>
      <w:r w:rsidRPr="00E51FA9">
        <w:rPr>
          <w:rFonts w:asciiTheme="majorBidi" w:hAnsiTheme="majorBidi" w:cstheme="majorBidi"/>
          <w:i/>
          <w:iCs/>
          <w:sz w:val="24"/>
          <w:szCs w:val="24"/>
        </w:rPr>
        <w:t>Social Policy &amp; Administration, 41</w:t>
      </w:r>
      <w:r w:rsidRPr="00E51FA9">
        <w:rPr>
          <w:rFonts w:asciiTheme="majorBidi" w:hAnsiTheme="majorBidi" w:cstheme="majorBidi"/>
          <w:sz w:val="24"/>
          <w:szCs w:val="24"/>
        </w:rPr>
        <w:t xml:space="preserve">, 86-104. </w:t>
      </w:r>
    </w:p>
    <w:p w14:paraId="58E17990" w14:textId="77777777" w:rsidR="00A44B87" w:rsidRPr="00E51FA9" w:rsidRDefault="00A44B87" w:rsidP="00B10D81">
      <w:pPr>
        <w:spacing w:after="60"/>
        <w:rPr>
          <w:rFonts w:asciiTheme="majorBidi" w:hAnsiTheme="majorBidi" w:cstheme="majorBidi"/>
          <w:sz w:val="24"/>
          <w:szCs w:val="24"/>
        </w:rPr>
      </w:pPr>
    </w:p>
    <w:p w14:paraId="5D016E17" w14:textId="61F04505"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Nosek</w:t>
      </w:r>
      <w:r w:rsidR="002E7ACC">
        <w:rPr>
          <w:rFonts w:asciiTheme="majorBidi" w:hAnsiTheme="majorBidi" w:cstheme="majorBidi"/>
          <w:sz w:val="24"/>
          <w:szCs w:val="24"/>
        </w:rPr>
        <w:t>,</w:t>
      </w:r>
      <w:r w:rsidRPr="00E51FA9">
        <w:rPr>
          <w:rFonts w:asciiTheme="majorBidi" w:hAnsiTheme="majorBidi" w:cstheme="majorBidi"/>
          <w:sz w:val="24"/>
          <w:szCs w:val="24"/>
        </w:rPr>
        <w:t xml:space="preserve"> M. A., Howland C., Rintala D. H., Young M. E.,</w:t>
      </w:r>
      <w:r w:rsidR="0039445C">
        <w:rPr>
          <w:rFonts w:asciiTheme="majorBidi" w:hAnsiTheme="majorBidi" w:cstheme="majorBidi"/>
          <w:sz w:val="24"/>
          <w:szCs w:val="24"/>
        </w:rPr>
        <w:t xml:space="preserve"> &amp;</w:t>
      </w:r>
      <w:r w:rsidRPr="00E51FA9">
        <w:rPr>
          <w:rFonts w:asciiTheme="majorBidi" w:hAnsiTheme="majorBidi" w:cstheme="majorBidi"/>
          <w:sz w:val="24"/>
          <w:szCs w:val="24"/>
        </w:rPr>
        <w:t xml:space="preserve"> Chanpong G. F. (2001). National study of women with physical disabilities: Final report. </w:t>
      </w:r>
      <w:r w:rsidRPr="00E51FA9">
        <w:rPr>
          <w:rFonts w:asciiTheme="majorBidi" w:hAnsiTheme="majorBidi" w:cstheme="majorBidi"/>
          <w:i/>
          <w:iCs/>
          <w:sz w:val="24"/>
          <w:szCs w:val="24"/>
        </w:rPr>
        <w:t>Sexuality &amp; Disability, 19</w:t>
      </w:r>
      <w:r w:rsidRPr="00E51FA9">
        <w:rPr>
          <w:rFonts w:asciiTheme="majorBidi" w:hAnsiTheme="majorBidi" w:cstheme="majorBidi"/>
          <w:sz w:val="24"/>
          <w:szCs w:val="24"/>
        </w:rPr>
        <w:t>, 5.</w:t>
      </w:r>
    </w:p>
    <w:p w14:paraId="1AE94DF6" w14:textId="77777777" w:rsidR="00A44B87" w:rsidRPr="00E51FA9" w:rsidRDefault="00A44B87" w:rsidP="00B10D81">
      <w:pPr>
        <w:spacing w:after="60"/>
        <w:rPr>
          <w:rFonts w:asciiTheme="majorBidi" w:hAnsiTheme="majorBidi" w:cstheme="majorBidi"/>
          <w:sz w:val="24"/>
          <w:szCs w:val="24"/>
        </w:rPr>
      </w:pPr>
    </w:p>
    <w:p w14:paraId="03609589" w14:textId="5BD7D0B9"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Nosek</w:t>
      </w:r>
      <w:r w:rsidR="002E7ACC">
        <w:rPr>
          <w:rFonts w:asciiTheme="majorBidi" w:hAnsiTheme="majorBidi" w:cstheme="majorBidi"/>
          <w:sz w:val="24"/>
          <w:szCs w:val="24"/>
        </w:rPr>
        <w:t>,</w:t>
      </w:r>
      <w:r w:rsidRPr="00E51FA9">
        <w:rPr>
          <w:rFonts w:asciiTheme="majorBidi" w:hAnsiTheme="majorBidi" w:cstheme="majorBidi"/>
          <w:sz w:val="24"/>
          <w:szCs w:val="24"/>
        </w:rPr>
        <w:t xml:space="preserve"> M. A., Hughes R. B., Taylor H. B.,</w:t>
      </w:r>
      <w:r w:rsidR="0039445C">
        <w:rPr>
          <w:rFonts w:asciiTheme="majorBidi" w:hAnsiTheme="majorBidi" w:cstheme="majorBidi"/>
          <w:sz w:val="24"/>
          <w:szCs w:val="24"/>
        </w:rPr>
        <w:t xml:space="preserve"> &amp;</w:t>
      </w:r>
      <w:r w:rsidRPr="00E51FA9">
        <w:rPr>
          <w:rFonts w:asciiTheme="majorBidi" w:hAnsiTheme="majorBidi" w:cstheme="majorBidi"/>
          <w:sz w:val="24"/>
          <w:szCs w:val="24"/>
        </w:rPr>
        <w:t xml:space="preserve"> Taylor P. (2006). Disability, psychosocial, and demographic characteristics of abused women with physical disabilities. </w:t>
      </w:r>
      <w:r w:rsidRPr="00E51FA9">
        <w:rPr>
          <w:rFonts w:asciiTheme="majorBidi" w:hAnsiTheme="majorBidi" w:cstheme="majorBidi"/>
          <w:i/>
          <w:iCs/>
          <w:sz w:val="24"/>
          <w:szCs w:val="24"/>
        </w:rPr>
        <w:t>Violence Against Women, 12</w:t>
      </w:r>
      <w:r w:rsidRPr="00E51FA9">
        <w:rPr>
          <w:rFonts w:asciiTheme="majorBidi" w:hAnsiTheme="majorBidi" w:cstheme="majorBidi"/>
          <w:sz w:val="24"/>
          <w:szCs w:val="24"/>
        </w:rPr>
        <w:t>, 838–850.</w:t>
      </w:r>
    </w:p>
    <w:p w14:paraId="2B5560F8" w14:textId="77777777" w:rsidR="00A44B87" w:rsidRPr="00E51FA9" w:rsidRDefault="00A44B87" w:rsidP="00B10D81">
      <w:pPr>
        <w:spacing w:after="60"/>
        <w:rPr>
          <w:rFonts w:asciiTheme="majorBidi" w:hAnsiTheme="majorBidi" w:cstheme="majorBidi"/>
          <w:sz w:val="24"/>
          <w:szCs w:val="24"/>
        </w:rPr>
      </w:pPr>
    </w:p>
    <w:p w14:paraId="0575C66A" w14:textId="017C3269" w:rsidR="00A44B87" w:rsidRPr="00460210"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Ortoleva, S., &amp; Lewis, H. (2012). </w:t>
      </w:r>
      <w:r w:rsidRPr="00AB3C61">
        <w:rPr>
          <w:rFonts w:asciiTheme="majorBidi" w:hAnsiTheme="majorBidi" w:cstheme="majorBidi"/>
          <w:sz w:val="24"/>
          <w:szCs w:val="24"/>
        </w:rPr>
        <w:t xml:space="preserve">Forgotten sisters—A report on violence against women with disabilities: An overview of its nature, scope, causes and </w:t>
      </w:r>
      <w:r w:rsidR="00861FCE" w:rsidRPr="00AB3C61">
        <w:rPr>
          <w:rFonts w:asciiTheme="majorBidi" w:hAnsiTheme="majorBidi" w:cstheme="majorBidi"/>
          <w:sz w:val="24"/>
          <w:szCs w:val="24"/>
        </w:rPr>
        <w:t>consequences</w:t>
      </w:r>
      <w:r w:rsidR="002B21A6">
        <w:rPr>
          <w:rFonts w:asciiTheme="majorBidi" w:hAnsiTheme="majorBidi" w:cstheme="majorBidi"/>
          <w:sz w:val="24"/>
          <w:szCs w:val="24"/>
        </w:rPr>
        <w:t>,</w:t>
      </w:r>
      <w:r w:rsidRPr="00E51FA9">
        <w:rPr>
          <w:rFonts w:asciiTheme="majorBidi" w:hAnsiTheme="majorBidi" w:cstheme="majorBidi"/>
          <w:sz w:val="24"/>
          <w:szCs w:val="24"/>
        </w:rPr>
        <w:t xml:space="preserve"> (</w:t>
      </w:r>
      <w:proofErr w:type="spellStart"/>
      <w:r w:rsidRPr="00E51FA9">
        <w:rPr>
          <w:rFonts w:asciiTheme="majorBidi" w:hAnsiTheme="majorBidi" w:cstheme="majorBidi"/>
          <w:i/>
          <w:iCs/>
          <w:sz w:val="24"/>
          <w:szCs w:val="24"/>
        </w:rPr>
        <w:t>Northeastern</w:t>
      </w:r>
      <w:proofErr w:type="spellEnd"/>
      <w:r w:rsidRPr="00E51FA9">
        <w:rPr>
          <w:rFonts w:asciiTheme="majorBidi" w:hAnsiTheme="majorBidi" w:cstheme="majorBidi"/>
          <w:i/>
          <w:iCs/>
          <w:sz w:val="24"/>
          <w:szCs w:val="24"/>
        </w:rPr>
        <w:t xml:space="preserve"> University School of Law </w:t>
      </w:r>
      <w:proofErr w:type="spellStart"/>
      <w:r w:rsidRPr="00E51FA9">
        <w:rPr>
          <w:rFonts w:asciiTheme="majorBidi" w:hAnsiTheme="majorBidi" w:cstheme="majorBidi"/>
          <w:i/>
          <w:iCs/>
          <w:sz w:val="24"/>
          <w:szCs w:val="24"/>
        </w:rPr>
        <w:t>Northeastern</w:t>
      </w:r>
      <w:proofErr w:type="spellEnd"/>
      <w:r w:rsidRPr="00E51FA9">
        <w:rPr>
          <w:rFonts w:asciiTheme="majorBidi" w:hAnsiTheme="majorBidi" w:cstheme="majorBidi"/>
          <w:i/>
          <w:iCs/>
          <w:sz w:val="24"/>
          <w:szCs w:val="24"/>
        </w:rPr>
        <w:t xml:space="preserve"> Public Law and Theory Faculty Research Papers Series No</w:t>
      </w:r>
      <w:r w:rsidRPr="00E51FA9">
        <w:rPr>
          <w:rFonts w:asciiTheme="majorBidi" w:hAnsiTheme="majorBidi" w:cstheme="majorBidi"/>
          <w:sz w:val="24"/>
          <w:szCs w:val="24"/>
        </w:rPr>
        <w:t xml:space="preserve">. 104-2012). Retrieved from </w:t>
      </w:r>
      <w:hyperlink r:id="rId34" w:history="1">
        <w:r w:rsidRPr="00C64B1F">
          <w:rPr>
            <w:rFonts w:asciiTheme="majorBidi" w:hAnsiTheme="majorBidi" w:cstheme="majorBidi"/>
            <w:sz w:val="24"/>
            <w:szCs w:val="24"/>
          </w:rPr>
          <w:t>http://ssrn.com/abstract=2133332</w:t>
        </w:r>
      </w:hyperlink>
    </w:p>
    <w:p w14:paraId="12498C74" w14:textId="77777777" w:rsidR="00A44B87" w:rsidRPr="00E51FA9" w:rsidRDefault="00A44B87" w:rsidP="00B10D81">
      <w:pPr>
        <w:spacing w:after="60"/>
        <w:rPr>
          <w:rFonts w:asciiTheme="majorBidi" w:hAnsiTheme="majorBidi" w:cstheme="majorBidi"/>
          <w:sz w:val="24"/>
          <w:szCs w:val="24"/>
        </w:rPr>
      </w:pPr>
    </w:p>
    <w:p w14:paraId="2A9DFD9B" w14:textId="77777777" w:rsidR="00A44B87" w:rsidRPr="00E51FA9" w:rsidRDefault="00A44B87" w:rsidP="00B10D81">
      <w:pPr>
        <w:spacing w:after="60"/>
        <w:rPr>
          <w:rFonts w:asciiTheme="majorBidi" w:hAnsiTheme="majorBidi" w:cstheme="majorBidi"/>
          <w:sz w:val="24"/>
          <w:szCs w:val="24"/>
          <w:rtl/>
        </w:rPr>
      </w:pPr>
      <w:r w:rsidRPr="00E51FA9">
        <w:rPr>
          <w:rFonts w:asciiTheme="majorBidi" w:hAnsiTheme="majorBidi" w:cstheme="majorBidi"/>
          <w:sz w:val="24"/>
          <w:szCs w:val="24"/>
        </w:rPr>
        <w:t xml:space="preserve">Ottmann, G., </w:t>
      </w:r>
      <w:proofErr w:type="spellStart"/>
      <w:r w:rsidRPr="00E51FA9">
        <w:rPr>
          <w:rFonts w:asciiTheme="majorBidi" w:hAnsiTheme="majorBidi" w:cstheme="majorBidi"/>
          <w:sz w:val="24"/>
          <w:szCs w:val="24"/>
        </w:rPr>
        <w:t>McVilly</w:t>
      </w:r>
      <w:proofErr w:type="spellEnd"/>
      <w:r w:rsidRPr="00E51FA9">
        <w:rPr>
          <w:rFonts w:asciiTheme="majorBidi" w:hAnsiTheme="majorBidi" w:cstheme="majorBidi"/>
          <w:sz w:val="24"/>
          <w:szCs w:val="24"/>
        </w:rPr>
        <w:t xml:space="preserve">, K., &amp; </w:t>
      </w:r>
      <w:proofErr w:type="spellStart"/>
      <w:r w:rsidRPr="00E51FA9">
        <w:rPr>
          <w:rFonts w:asciiTheme="majorBidi" w:hAnsiTheme="majorBidi" w:cstheme="majorBidi"/>
          <w:sz w:val="24"/>
          <w:szCs w:val="24"/>
        </w:rPr>
        <w:t>Maragoudaki</w:t>
      </w:r>
      <w:proofErr w:type="spellEnd"/>
      <w:r w:rsidRPr="00E51FA9">
        <w:rPr>
          <w:rFonts w:asciiTheme="majorBidi" w:hAnsiTheme="majorBidi" w:cstheme="majorBidi"/>
          <w:sz w:val="24"/>
          <w:szCs w:val="24"/>
        </w:rPr>
        <w:t xml:space="preserve">, M. (2016). ‘I walk from trouble’: exploring safeguards with adults with intellectual disabilities–an Australian qualitative study. </w:t>
      </w:r>
      <w:r w:rsidRPr="00E51FA9">
        <w:rPr>
          <w:rFonts w:asciiTheme="majorBidi" w:hAnsiTheme="majorBidi" w:cstheme="majorBidi"/>
          <w:i/>
          <w:iCs/>
          <w:sz w:val="24"/>
          <w:szCs w:val="24"/>
        </w:rPr>
        <w:t>Disability &amp; Society, 31(1),</w:t>
      </w:r>
      <w:r w:rsidRPr="00E51FA9">
        <w:rPr>
          <w:rFonts w:asciiTheme="majorBidi" w:hAnsiTheme="majorBidi" w:cstheme="majorBidi"/>
          <w:sz w:val="24"/>
          <w:szCs w:val="24"/>
        </w:rPr>
        <w:t xml:space="preserve"> 47-63.</w:t>
      </w:r>
    </w:p>
    <w:p w14:paraId="0A16F762" w14:textId="77777777" w:rsidR="00A44B87" w:rsidRPr="00E51FA9" w:rsidRDefault="00A44B87" w:rsidP="00B10D81">
      <w:pPr>
        <w:spacing w:after="60"/>
        <w:rPr>
          <w:rFonts w:asciiTheme="majorBidi" w:hAnsiTheme="majorBidi" w:cstheme="majorBidi"/>
          <w:sz w:val="24"/>
          <w:szCs w:val="24"/>
        </w:rPr>
      </w:pPr>
    </w:p>
    <w:p w14:paraId="2E1D1670" w14:textId="17B2B937" w:rsidR="00A44B87" w:rsidRPr="00B10D81" w:rsidRDefault="00A44B87" w:rsidP="00B10D81">
      <w:pPr>
        <w:spacing w:after="60"/>
        <w:rPr>
          <w:rFonts w:asciiTheme="majorBidi" w:hAnsiTheme="majorBidi" w:cstheme="majorBidi"/>
          <w:i/>
          <w:sz w:val="24"/>
          <w:szCs w:val="24"/>
        </w:rPr>
      </w:pPr>
      <w:r w:rsidRPr="00E51FA9">
        <w:rPr>
          <w:rFonts w:asciiTheme="majorBidi" w:hAnsiTheme="majorBidi" w:cstheme="majorBidi"/>
          <w:sz w:val="24"/>
          <w:szCs w:val="24"/>
        </w:rPr>
        <w:t xml:space="preserve">Senate Community Affairs </w:t>
      </w:r>
      <w:r w:rsidR="00DD1047">
        <w:rPr>
          <w:rFonts w:asciiTheme="majorBidi" w:hAnsiTheme="majorBidi" w:cstheme="majorBidi"/>
          <w:sz w:val="24"/>
          <w:szCs w:val="24"/>
        </w:rPr>
        <w:t xml:space="preserve">Committee Secretariat. </w:t>
      </w:r>
      <w:r w:rsidRPr="00E51FA9">
        <w:rPr>
          <w:rFonts w:asciiTheme="majorBidi" w:hAnsiTheme="majorBidi" w:cstheme="majorBidi"/>
          <w:sz w:val="24"/>
          <w:szCs w:val="24"/>
        </w:rPr>
        <w:t>(2015)</w:t>
      </w:r>
      <w:r w:rsidR="00B10D81">
        <w:rPr>
          <w:rFonts w:asciiTheme="majorBidi" w:hAnsiTheme="majorBidi" w:cstheme="majorBidi"/>
          <w:sz w:val="24"/>
          <w:szCs w:val="24"/>
        </w:rPr>
        <w:t>.</w:t>
      </w:r>
      <w:r w:rsidRPr="00E51FA9">
        <w:rPr>
          <w:rFonts w:asciiTheme="majorBidi" w:hAnsiTheme="majorBidi" w:cstheme="majorBidi"/>
          <w:sz w:val="24"/>
          <w:szCs w:val="24"/>
        </w:rPr>
        <w:t xml:space="preserve"> </w:t>
      </w:r>
      <w:r w:rsidR="00DD1047" w:rsidRPr="00DD1047">
        <w:rPr>
          <w:rFonts w:asciiTheme="majorBidi" w:hAnsiTheme="majorBidi" w:cstheme="majorBidi"/>
          <w:i/>
          <w:sz w:val="24"/>
          <w:szCs w:val="24"/>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B10D81">
        <w:rPr>
          <w:rFonts w:asciiTheme="majorBidi" w:hAnsiTheme="majorBidi" w:cstheme="majorBidi"/>
          <w:i/>
          <w:sz w:val="24"/>
          <w:szCs w:val="24"/>
        </w:rPr>
        <w:t>.</w:t>
      </w:r>
      <w:r w:rsidR="00AB3C61">
        <w:rPr>
          <w:rFonts w:asciiTheme="majorBidi" w:hAnsiTheme="majorBidi" w:cstheme="majorBidi"/>
          <w:i/>
          <w:sz w:val="24"/>
          <w:szCs w:val="24"/>
        </w:rPr>
        <w:t xml:space="preserve"> </w:t>
      </w:r>
      <w:r w:rsidR="00AB3C61">
        <w:rPr>
          <w:rFonts w:asciiTheme="majorBidi" w:hAnsiTheme="majorBidi" w:cstheme="majorBidi"/>
          <w:sz w:val="24"/>
          <w:szCs w:val="24"/>
        </w:rPr>
        <w:t>Canberra</w:t>
      </w:r>
      <w:r w:rsidR="008A392C">
        <w:rPr>
          <w:rFonts w:asciiTheme="majorBidi" w:hAnsiTheme="majorBidi" w:cstheme="majorBidi"/>
          <w:sz w:val="24"/>
          <w:szCs w:val="24"/>
        </w:rPr>
        <w:t>, Australia</w:t>
      </w:r>
      <w:r w:rsidR="00AB3C61">
        <w:rPr>
          <w:rFonts w:asciiTheme="majorBidi" w:hAnsiTheme="majorBidi" w:cstheme="majorBidi"/>
          <w:sz w:val="24"/>
          <w:szCs w:val="24"/>
        </w:rPr>
        <w:t xml:space="preserve">: Commonwealth of Australia. </w:t>
      </w:r>
    </w:p>
    <w:p w14:paraId="2CF28421" w14:textId="77777777" w:rsidR="00A44B87" w:rsidRPr="00E51FA9" w:rsidRDefault="00A44B87" w:rsidP="00B10D81">
      <w:pPr>
        <w:spacing w:after="60"/>
        <w:rPr>
          <w:rFonts w:asciiTheme="majorBidi" w:hAnsiTheme="majorBidi" w:cstheme="majorBidi"/>
          <w:sz w:val="24"/>
          <w:szCs w:val="24"/>
        </w:rPr>
      </w:pPr>
    </w:p>
    <w:p w14:paraId="6EC3BDBA" w14:textId="122BD636" w:rsidR="00A44B87" w:rsidRPr="00460210" w:rsidRDefault="00A44B87" w:rsidP="006F0BF7">
      <w:pPr>
        <w:spacing w:after="60"/>
        <w:rPr>
          <w:rFonts w:asciiTheme="majorBidi" w:hAnsiTheme="majorBidi" w:cstheme="majorBidi"/>
          <w:i/>
          <w:sz w:val="24"/>
          <w:szCs w:val="24"/>
        </w:rPr>
      </w:pPr>
      <w:r w:rsidRPr="00E51FA9">
        <w:rPr>
          <w:rFonts w:asciiTheme="majorBidi" w:hAnsiTheme="majorBidi" w:cstheme="majorBidi"/>
          <w:sz w:val="24"/>
          <w:szCs w:val="24"/>
        </w:rPr>
        <w:lastRenderedPageBreak/>
        <w:t>Parliament of Victoria</w:t>
      </w:r>
      <w:r w:rsidR="006F0BF7">
        <w:rPr>
          <w:rFonts w:asciiTheme="majorBidi" w:hAnsiTheme="majorBidi" w:cstheme="majorBidi"/>
          <w:sz w:val="24"/>
          <w:szCs w:val="24"/>
        </w:rPr>
        <w:t>.</w:t>
      </w:r>
      <w:r w:rsidRPr="00E51FA9">
        <w:rPr>
          <w:rFonts w:asciiTheme="majorBidi" w:hAnsiTheme="majorBidi" w:cstheme="majorBidi"/>
          <w:sz w:val="24"/>
          <w:szCs w:val="24"/>
        </w:rPr>
        <w:t xml:space="preserve"> (2015</w:t>
      </w:r>
      <w:r w:rsidRPr="00004D91">
        <w:rPr>
          <w:rFonts w:asciiTheme="majorBidi" w:hAnsiTheme="majorBidi" w:cstheme="majorBidi"/>
          <w:sz w:val="24"/>
          <w:szCs w:val="24"/>
        </w:rPr>
        <w:t>)</w:t>
      </w:r>
      <w:r w:rsidR="006F0BF7" w:rsidRPr="00004D91">
        <w:rPr>
          <w:rFonts w:asciiTheme="majorBidi" w:hAnsiTheme="majorBidi" w:cstheme="majorBidi"/>
          <w:sz w:val="24"/>
          <w:szCs w:val="24"/>
        </w:rPr>
        <w:t>.</w:t>
      </w:r>
      <w:r w:rsidRPr="00B10D81">
        <w:rPr>
          <w:rFonts w:asciiTheme="majorBidi" w:hAnsiTheme="majorBidi" w:cstheme="majorBidi"/>
          <w:i/>
          <w:sz w:val="24"/>
          <w:szCs w:val="24"/>
        </w:rPr>
        <w:t xml:space="preserve"> Interim Report on the Inquiry into Abuse in Disability Services.</w:t>
      </w:r>
      <w:r w:rsidR="006F0BF7" w:rsidRPr="006F0BF7">
        <w:rPr>
          <w:rFonts w:asciiTheme="majorBidi" w:hAnsiTheme="majorBidi" w:cstheme="majorBidi"/>
          <w:sz w:val="24"/>
          <w:szCs w:val="24"/>
        </w:rPr>
        <w:t xml:space="preserve"> </w:t>
      </w:r>
      <w:r w:rsidR="006F0BF7">
        <w:rPr>
          <w:rFonts w:asciiTheme="majorBidi" w:hAnsiTheme="majorBidi" w:cstheme="majorBidi"/>
          <w:sz w:val="24"/>
          <w:szCs w:val="24"/>
        </w:rPr>
        <w:t xml:space="preserve">Retrieved from </w:t>
      </w:r>
      <w:hyperlink r:id="rId35" w:history="1">
        <w:r w:rsidR="002B21A6" w:rsidRPr="00C64B1F">
          <w:rPr>
            <w:rStyle w:val="Hyperlink"/>
            <w:rFonts w:asciiTheme="majorBidi" w:hAnsiTheme="majorBidi" w:cstheme="majorBidi"/>
            <w:color w:val="auto"/>
            <w:sz w:val="24"/>
            <w:szCs w:val="24"/>
            <w:u w:val="none"/>
          </w:rPr>
          <w:t>https://www.parliament.vic.gov.au/file_uploads/FCDC_-_Inquiry_into_abuse_in_disability_services_HtW37zgf.pdf</w:t>
        </w:r>
      </w:hyperlink>
      <w:r w:rsidR="002B21A6" w:rsidRPr="00460210">
        <w:rPr>
          <w:rFonts w:asciiTheme="majorBidi" w:hAnsiTheme="majorBidi" w:cstheme="majorBidi"/>
          <w:sz w:val="24"/>
          <w:szCs w:val="24"/>
        </w:rPr>
        <w:t xml:space="preserve"> </w:t>
      </w:r>
    </w:p>
    <w:p w14:paraId="66527D4E" w14:textId="77777777" w:rsidR="00A44B87" w:rsidRPr="00460210" w:rsidRDefault="00A44B87" w:rsidP="00B10D81">
      <w:pPr>
        <w:spacing w:after="60"/>
        <w:rPr>
          <w:rFonts w:asciiTheme="majorBidi" w:hAnsiTheme="majorBidi" w:cstheme="majorBidi"/>
          <w:sz w:val="24"/>
          <w:szCs w:val="24"/>
          <w:lang w:eastAsia="en-AU" w:bidi="he-IL"/>
        </w:rPr>
      </w:pPr>
    </w:p>
    <w:p w14:paraId="059E198B" w14:textId="77777777" w:rsidR="00A44B87" w:rsidRDefault="00A44B87" w:rsidP="00B10D81">
      <w:pPr>
        <w:spacing w:after="60"/>
        <w:rPr>
          <w:rFonts w:asciiTheme="majorBidi" w:hAnsiTheme="majorBidi" w:cstheme="majorBidi"/>
          <w:iCs/>
          <w:sz w:val="24"/>
          <w:szCs w:val="24"/>
        </w:rPr>
      </w:pPr>
      <w:r w:rsidRPr="00E51FA9">
        <w:rPr>
          <w:rFonts w:asciiTheme="majorBidi" w:hAnsiTheme="majorBidi" w:cstheme="majorBidi"/>
          <w:iCs/>
          <w:sz w:val="24"/>
          <w:szCs w:val="24"/>
        </w:rPr>
        <w:t xml:space="preserve">Peckham, N. G., Howlett, S., &amp; Corbett, A. (2007). Evaluating a survivors group pilot for women with significant intellectual disabilities who have been sexually abused. </w:t>
      </w:r>
      <w:r w:rsidRPr="00E51FA9">
        <w:rPr>
          <w:rFonts w:asciiTheme="majorBidi" w:hAnsiTheme="majorBidi" w:cstheme="majorBidi"/>
          <w:i/>
          <w:sz w:val="24"/>
          <w:szCs w:val="24"/>
        </w:rPr>
        <w:t>Journal of Applied Research in Intellectual Disabilities, 20</w:t>
      </w:r>
      <w:r w:rsidRPr="00FD6865">
        <w:rPr>
          <w:rFonts w:asciiTheme="majorBidi" w:hAnsiTheme="majorBidi" w:cstheme="majorBidi"/>
          <w:sz w:val="24"/>
          <w:szCs w:val="24"/>
        </w:rPr>
        <w:t>(4),</w:t>
      </w:r>
      <w:r w:rsidRPr="00E51FA9">
        <w:rPr>
          <w:rFonts w:asciiTheme="majorBidi" w:hAnsiTheme="majorBidi" w:cstheme="majorBidi"/>
          <w:iCs/>
          <w:sz w:val="24"/>
          <w:szCs w:val="24"/>
        </w:rPr>
        <w:t xml:space="preserve"> 308-322.</w:t>
      </w:r>
    </w:p>
    <w:p w14:paraId="6FB9099A" w14:textId="77777777" w:rsidR="00230ED0" w:rsidRDefault="00230ED0" w:rsidP="00B10D81">
      <w:pPr>
        <w:spacing w:after="60"/>
        <w:rPr>
          <w:rFonts w:asciiTheme="majorBidi" w:hAnsiTheme="majorBidi" w:cstheme="majorBidi"/>
          <w:iCs/>
          <w:sz w:val="24"/>
          <w:szCs w:val="24"/>
        </w:rPr>
      </w:pPr>
    </w:p>
    <w:p w14:paraId="3E79481B" w14:textId="77777777" w:rsidR="00230ED0" w:rsidRPr="00230ED0" w:rsidRDefault="00230ED0" w:rsidP="00230ED0">
      <w:pPr>
        <w:rPr>
          <w:sz w:val="24"/>
          <w:szCs w:val="24"/>
          <w:lang w:val="en-US"/>
        </w:rPr>
      </w:pPr>
      <w:proofErr w:type="spellStart"/>
      <w:r w:rsidRPr="00230ED0">
        <w:rPr>
          <w:color w:val="222222"/>
          <w:sz w:val="24"/>
          <w:szCs w:val="24"/>
          <w:shd w:val="clear" w:color="auto" w:fill="FFFFFF"/>
          <w:lang w:val="en-US"/>
        </w:rPr>
        <w:t>Peckham</w:t>
      </w:r>
      <w:proofErr w:type="spellEnd"/>
      <w:r w:rsidRPr="00230ED0">
        <w:rPr>
          <w:color w:val="222222"/>
          <w:sz w:val="24"/>
          <w:szCs w:val="24"/>
          <w:shd w:val="clear" w:color="auto" w:fill="FFFFFF"/>
          <w:lang w:val="en-US"/>
        </w:rPr>
        <w:t xml:space="preserve">, N. G. (2007). The vulnerability and sexual abuse of people with learning disabilities. </w:t>
      </w:r>
      <w:r w:rsidRPr="00230ED0">
        <w:rPr>
          <w:i/>
          <w:color w:val="222222"/>
          <w:sz w:val="24"/>
          <w:szCs w:val="24"/>
          <w:shd w:val="clear" w:color="auto" w:fill="FFFFFF"/>
          <w:lang w:val="en-US"/>
        </w:rPr>
        <w:t>British Journal of Learning Disabilities,</w:t>
      </w:r>
      <w:r w:rsidRPr="00230ED0">
        <w:rPr>
          <w:color w:val="222222"/>
          <w:sz w:val="24"/>
          <w:szCs w:val="24"/>
          <w:shd w:val="clear" w:color="auto" w:fill="FFFFFF"/>
          <w:lang w:val="en-US"/>
        </w:rPr>
        <w:t xml:space="preserve"> 35(2), 131-137.</w:t>
      </w:r>
    </w:p>
    <w:p w14:paraId="1D4694CF" w14:textId="77777777" w:rsidR="00A44B87" w:rsidRPr="00E51FA9" w:rsidRDefault="00A44B87" w:rsidP="00B10D81">
      <w:pPr>
        <w:spacing w:after="60"/>
        <w:rPr>
          <w:rFonts w:asciiTheme="majorBidi" w:hAnsiTheme="majorBidi" w:cstheme="majorBidi"/>
          <w:sz w:val="24"/>
          <w:szCs w:val="24"/>
        </w:rPr>
      </w:pPr>
    </w:p>
    <w:p w14:paraId="37C77C3A"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Perry, J. (2004). Hate crime against people with learning difficulties: The role of the Crime and Disorder Act and No Secrets in identification and prevention. </w:t>
      </w:r>
      <w:r w:rsidRPr="00E51FA9">
        <w:rPr>
          <w:rFonts w:asciiTheme="majorBidi" w:hAnsiTheme="majorBidi" w:cstheme="majorBidi"/>
          <w:i/>
          <w:iCs/>
          <w:sz w:val="24"/>
          <w:szCs w:val="24"/>
        </w:rPr>
        <w:t>Journal of Adult Protection, 6</w:t>
      </w:r>
      <w:r w:rsidRPr="00E51FA9">
        <w:rPr>
          <w:rFonts w:asciiTheme="majorBidi" w:hAnsiTheme="majorBidi" w:cstheme="majorBidi"/>
          <w:sz w:val="24"/>
          <w:szCs w:val="24"/>
        </w:rPr>
        <w:t xml:space="preserve">, 27-34. </w:t>
      </w:r>
    </w:p>
    <w:p w14:paraId="7AF58B4B" w14:textId="77777777" w:rsidR="00A44B87" w:rsidRPr="00E51FA9" w:rsidRDefault="00A44B87" w:rsidP="00B10D81">
      <w:pPr>
        <w:spacing w:after="60"/>
        <w:rPr>
          <w:rFonts w:asciiTheme="majorBidi" w:hAnsiTheme="majorBidi" w:cstheme="majorBidi"/>
          <w:sz w:val="24"/>
          <w:szCs w:val="24"/>
        </w:rPr>
      </w:pPr>
    </w:p>
    <w:p w14:paraId="38EDAE5D" w14:textId="5F1ECF74"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Powers L. E., </w:t>
      </w:r>
      <w:proofErr w:type="spellStart"/>
      <w:r w:rsidRPr="00E51FA9">
        <w:rPr>
          <w:rFonts w:asciiTheme="majorBidi" w:hAnsiTheme="majorBidi" w:cstheme="majorBidi"/>
          <w:sz w:val="24"/>
          <w:szCs w:val="24"/>
        </w:rPr>
        <w:t>Renker</w:t>
      </w:r>
      <w:proofErr w:type="spellEnd"/>
      <w:r w:rsidRPr="00E51FA9">
        <w:rPr>
          <w:rFonts w:asciiTheme="majorBidi" w:hAnsiTheme="majorBidi" w:cstheme="majorBidi"/>
          <w:sz w:val="24"/>
          <w:szCs w:val="24"/>
        </w:rPr>
        <w:t xml:space="preserve"> P., Robinson-</w:t>
      </w:r>
      <w:proofErr w:type="spellStart"/>
      <w:r w:rsidRPr="00E51FA9">
        <w:rPr>
          <w:rFonts w:asciiTheme="majorBidi" w:hAnsiTheme="majorBidi" w:cstheme="majorBidi"/>
          <w:sz w:val="24"/>
          <w:szCs w:val="24"/>
        </w:rPr>
        <w:t>Whelen</w:t>
      </w:r>
      <w:proofErr w:type="spellEnd"/>
      <w:r w:rsidRPr="00E51FA9">
        <w:rPr>
          <w:rFonts w:asciiTheme="majorBidi" w:hAnsiTheme="majorBidi" w:cstheme="majorBidi"/>
          <w:sz w:val="24"/>
          <w:szCs w:val="24"/>
        </w:rPr>
        <w:t xml:space="preserve"> S., </w:t>
      </w:r>
      <w:proofErr w:type="spellStart"/>
      <w:r w:rsidRPr="00E51FA9">
        <w:rPr>
          <w:rFonts w:asciiTheme="majorBidi" w:hAnsiTheme="majorBidi" w:cstheme="majorBidi"/>
          <w:sz w:val="24"/>
          <w:szCs w:val="24"/>
        </w:rPr>
        <w:t>Oschwald</w:t>
      </w:r>
      <w:proofErr w:type="spellEnd"/>
      <w:r w:rsidRPr="00E51FA9">
        <w:rPr>
          <w:rFonts w:asciiTheme="majorBidi" w:hAnsiTheme="majorBidi" w:cstheme="majorBidi"/>
          <w:sz w:val="24"/>
          <w:szCs w:val="24"/>
        </w:rPr>
        <w:t xml:space="preserve"> M., Hughes R., Swank P., </w:t>
      </w:r>
      <w:r w:rsidR="0039445C">
        <w:rPr>
          <w:rFonts w:asciiTheme="majorBidi" w:hAnsiTheme="majorBidi" w:cstheme="majorBidi"/>
          <w:sz w:val="24"/>
          <w:szCs w:val="24"/>
        </w:rPr>
        <w:t xml:space="preserve">&amp; </w:t>
      </w:r>
      <w:r w:rsidRPr="00E51FA9">
        <w:rPr>
          <w:rFonts w:asciiTheme="majorBidi" w:hAnsiTheme="majorBidi" w:cstheme="majorBidi"/>
          <w:sz w:val="24"/>
          <w:szCs w:val="24"/>
        </w:rPr>
        <w:t xml:space="preserve">Curry M. A. (2009). Interpersonal violence and women with disabilities: Analysis of safety promoting behaviors. </w:t>
      </w:r>
      <w:r w:rsidRPr="00E51FA9">
        <w:rPr>
          <w:rFonts w:asciiTheme="majorBidi" w:hAnsiTheme="majorBidi" w:cstheme="majorBidi"/>
          <w:i/>
          <w:iCs/>
          <w:sz w:val="24"/>
          <w:szCs w:val="24"/>
        </w:rPr>
        <w:t>Violence Against Women, 15</w:t>
      </w:r>
      <w:r w:rsidRPr="00E51FA9">
        <w:rPr>
          <w:rFonts w:asciiTheme="majorBidi" w:hAnsiTheme="majorBidi" w:cstheme="majorBidi"/>
          <w:sz w:val="24"/>
          <w:szCs w:val="24"/>
        </w:rPr>
        <w:t>, 1040–1069.</w:t>
      </w:r>
    </w:p>
    <w:p w14:paraId="1146F1D7" w14:textId="77777777" w:rsidR="00A44B87" w:rsidRPr="00E51FA9" w:rsidRDefault="00A44B87" w:rsidP="00B10D81">
      <w:pPr>
        <w:spacing w:after="60"/>
        <w:rPr>
          <w:rFonts w:asciiTheme="majorBidi" w:hAnsiTheme="majorBidi" w:cstheme="majorBidi"/>
          <w:sz w:val="24"/>
          <w:szCs w:val="24"/>
        </w:rPr>
      </w:pPr>
    </w:p>
    <w:p w14:paraId="69B88697" w14:textId="42A4A401"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Quarmby, K. (2011). </w:t>
      </w:r>
      <w:r w:rsidRPr="00E51FA9">
        <w:rPr>
          <w:rFonts w:asciiTheme="majorBidi" w:hAnsiTheme="majorBidi" w:cstheme="majorBidi"/>
          <w:i/>
          <w:iCs/>
          <w:sz w:val="24"/>
          <w:szCs w:val="24"/>
        </w:rPr>
        <w:t>Scapegoat</w:t>
      </w:r>
      <w:r w:rsidRPr="00E51FA9">
        <w:rPr>
          <w:rFonts w:asciiTheme="majorBidi" w:hAnsiTheme="majorBidi" w:cstheme="majorBidi"/>
          <w:sz w:val="24"/>
          <w:szCs w:val="24"/>
        </w:rPr>
        <w:t xml:space="preserve">. London, </w:t>
      </w:r>
      <w:r w:rsidR="0078243A">
        <w:rPr>
          <w:rFonts w:asciiTheme="majorBidi" w:hAnsiTheme="majorBidi" w:cstheme="majorBidi"/>
          <w:sz w:val="24"/>
          <w:szCs w:val="24"/>
        </w:rPr>
        <w:t>UK</w:t>
      </w:r>
      <w:r w:rsidRPr="00E51FA9">
        <w:rPr>
          <w:rFonts w:asciiTheme="majorBidi" w:hAnsiTheme="majorBidi" w:cstheme="majorBidi"/>
          <w:sz w:val="24"/>
          <w:szCs w:val="24"/>
        </w:rPr>
        <w:t>: Portobello Books.</w:t>
      </w:r>
    </w:p>
    <w:p w14:paraId="6710459D" w14:textId="77777777" w:rsidR="00A44B87" w:rsidRPr="00E51FA9" w:rsidRDefault="00A44B87" w:rsidP="00B10D81">
      <w:pPr>
        <w:spacing w:after="60"/>
        <w:rPr>
          <w:rFonts w:asciiTheme="majorBidi" w:hAnsiTheme="majorBidi" w:cstheme="majorBidi"/>
          <w:sz w:val="24"/>
          <w:szCs w:val="24"/>
        </w:rPr>
      </w:pPr>
    </w:p>
    <w:p w14:paraId="764B946A" w14:textId="42D8C194"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Rees, P. </w:t>
      </w:r>
      <w:r w:rsidR="00FD6865">
        <w:rPr>
          <w:rFonts w:asciiTheme="majorBidi" w:hAnsiTheme="majorBidi" w:cstheme="majorBidi"/>
          <w:sz w:val="24"/>
          <w:szCs w:val="24"/>
        </w:rPr>
        <w:t>&amp;</w:t>
      </w:r>
      <w:r w:rsidR="00861FCE">
        <w:rPr>
          <w:rFonts w:asciiTheme="majorBidi" w:hAnsiTheme="majorBidi" w:cstheme="majorBidi"/>
          <w:sz w:val="24"/>
          <w:szCs w:val="24"/>
        </w:rPr>
        <w:t xml:space="preserve"> </w:t>
      </w:r>
      <w:proofErr w:type="spellStart"/>
      <w:r w:rsidR="00861FCE" w:rsidRPr="00E51FA9">
        <w:rPr>
          <w:rFonts w:asciiTheme="majorBidi" w:hAnsiTheme="majorBidi" w:cstheme="majorBidi"/>
          <w:sz w:val="24"/>
          <w:szCs w:val="24"/>
        </w:rPr>
        <w:t>Manthorpe</w:t>
      </w:r>
      <w:proofErr w:type="spellEnd"/>
      <w:r w:rsidRPr="00E51FA9">
        <w:rPr>
          <w:rFonts w:asciiTheme="majorBidi" w:hAnsiTheme="majorBidi" w:cstheme="majorBidi"/>
          <w:sz w:val="24"/>
          <w:szCs w:val="24"/>
        </w:rPr>
        <w:t>, J. (2010)</w:t>
      </w:r>
      <w:r w:rsidR="00FD6865">
        <w:rPr>
          <w:rFonts w:asciiTheme="majorBidi" w:hAnsiTheme="majorBidi" w:cstheme="majorBidi"/>
          <w:sz w:val="24"/>
          <w:szCs w:val="24"/>
        </w:rPr>
        <w:t>.</w:t>
      </w:r>
      <w:r w:rsidR="0039445C">
        <w:rPr>
          <w:rFonts w:asciiTheme="majorBidi" w:hAnsiTheme="majorBidi" w:cstheme="majorBidi"/>
          <w:sz w:val="24"/>
          <w:szCs w:val="24"/>
        </w:rPr>
        <w:t xml:space="preserve"> </w:t>
      </w:r>
      <w:r w:rsidRPr="00E51FA9">
        <w:rPr>
          <w:rFonts w:asciiTheme="majorBidi" w:hAnsiTheme="majorBidi" w:cstheme="majorBidi"/>
          <w:sz w:val="24"/>
          <w:szCs w:val="24"/>
        </w:rPr>
        <w:t xml:space="preserve">Managers and staff experiences of adult protection allegations in mental health and learning disability residential services: a qualitative study, </w:t>
      </w:r>
      <w:r w:rsidRPr="00E51FA9">
        <w:rPr>
          <w:rFonts w:asciiTheme="majorBidi" w:hAnsiTheme="majorBidi" w:cstheme="majorBidi"/>
          <w:i/>
          <w:iCs/>
          <w:sz w:val="24"/>
          <w:szCs w:val="24"/>
        </w:rPr>
        <w:t>British Journal of Social Work , 40</w:t>
      </w:r>
      <w:r w:rsidR="00120D18" w:rsidRPr="00FD6865">
        <w:rPr>
          <w:rFonts w:asciiTheme="majorBidi" w:hAnsiTheme="majorBidi" w:cstheme="majorBidi"/>
          <w:iCs/>
          <w:sz w:val="24"/>
          <w:szCs w:val="24"/>
        </w:rPr>
        <w:t>(</w:t>
      </w:r>
      <w:r w:rsidRPr="00FD6865">
        <w:rPr>
          <w:rFonts w:asciiTheme="majorBidi" w:hAnsiTheme="majorBidi" w:cstheme="majorBidi"/>
          <w:iCs/>
          <w:sz w:val="24"/>
          <w:szCs w:val="24"/>
        </w:rPr>
        <w:t>2</w:t>
      </w:r>
      <w:r w:rsidR="00120D18">
        <w:rPr>
          <w:rFonts w:asciiTheme="majorBidi" w:hAnsiTheme="majorBidi" w:cstheme="majorBidi"/>
          <w:iCs/>
          <w:sz w:val="24"/>
          <w:szCs w:val="24"/>
        </w:rPr>
        <w:t>)</w:t>
      </w:r>
      <w:r w:rsidRPr="00120D18">
        <w:rPr>
          <w:rFonts w:asciiTheme="majorBidi" w:hAnsiTheme="majorBidi" w:cstheme="majorBidi"/>
          <w:sz w:val="24"/>
          <w:szCs w:val="24"/>
        </w:rPr>
        <w:t>,</w:t>
      </w:r>
      <w:r w:rsidRPr="00E51FA9">
        <w:rPr>
          <w:rFonts w:asciiTheme="majorBidi" w:hAnsiTheme="majorBidi" w:cstheme="majorBidi"/>
          <w:sz w:val="24"/>
          <w:szCs w:val="24"/>
        </w:rPr>
        <w:t xml:space="preserve"> 513-</w:t>
      </w:r>
      <w:r w:rsidR="00120D18">
        <w:rPr>
          <w:rFonts w:asciiTheme="majorBidi" w:hAnsiTheme="majorBidi" w:cstheme="majorBidi"/>
          <w:sz w:val="24"/>
          <w:szCs w:val="24"/>
        </w:rPr>
        <w:t>5</w:t>
      </w:r>
      <w:r w:rsidRPr="00E51FA9">
        <w:rPr>
          <w:rFonts w:asciiTheme="majorBidi" w:hAnsiTheme="majorBidi" w:cstheme="majorBidi"/>
          <w:sz w:val="24"/>
          <w:szCs w:val="24"/>
        </w:rPr>
        <w:t>29.</w:t>
      </w:r>
    </w:p>
    <w:p w14:paraId="4C89946D" w14:textId="77777777" w:rsidR="00A44B87" w:rsidRPr="00E51FA9" w:rsidRDefault="00A44B87" w:rsidP="00B10D81">
      <w:pPr>
        <w:spacing w:after="60"/>
        <w:rPr>
          <w:rFonts w:asciiTheme="majorBidi" w:hAnsiTheme="majorBidi" w:cstheme="majorBidi"/>
          <w:sz w:val="24"/>
          <w:szCs w:val="24"/>
        </w:rPr>
      </w:pPr>
    </w:p>
    <w:p w14:paraId="62ACC252" w14:textId="6D23558B" w:rsidR="00A44B87" w:rsidRDefault="00A44B87" w:rsidP="00B10D81">
      <w:pPr>
        <w:spacing w:after="60" w:line="259" w:lineRule="auto"/>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Robinson, S. (2015). Preventing Abuse of Children and Young People with Disability under the National Disability Insurance Scheme: A Brave New World? </w:t>
      </w:r>
      <w:r w:rsidRPr="00E51FA9">
        <w:rPr>
          <w:rFonts w:asciiTheme="majorBidi" w:hAnsiTheme="majorBidi" w:cstheme="majorBidi"/>
          <w:i/>
          <w:iCs/>
          <w:sz w:val="24"/>
          <w:szCs w:val="24"/>
          <w:lang w:eastAsia="en-AU" w:bidi="he-IL"/>
        </w:rPr>
        <w:t>Australian Social Work, 68</w:t>
      </w:r>
      <w:r w:rsidRPr="00FD6865">
        <w:rPr>
          <w:rFonts w:asciiTheme="majorBidi" w:hAnsiTheme="majorBidi" w:cstheme="majorBidi"/>
          <w:iCs/>
          <w:sz w:val="24"/>
          <w:szCs w:val="24"/>
          <w:lang w:eastAsia="en-AU" w:bidi="he-IL"/>
        </w:rPr>
        <w:t>(4)</w:t>
      </w:r>
      <w:r w:rsidRPr="00E51FA9">
        <w:rPr>
          <w:rFonts w:asciiTheme="majorBidi" w:hAnsiTheme="majorBidi" w:cstheme="majorBidi"/>
          <w:i/>
          <w:iCs/>
          <w:sz w:val="24"/>
          <w:szCs w:val="24"/>
          <w:lang w:eastAsia="en-AU" w:bidi="he-IL"/>
        </w:rPr>
        <w:t>,</w:t>
      </w:r>
      <w:r w:rsidRPr="00E51FA9">
        <w:rPr>
          <w:rFonts w:asciiTheme="majorBidi" w:hAnsiTheme="majorBidi" w:cstheme="majorBidi"/>
          <w:sz w:val="24"/>
          <w:szCs w:val="24"/>
          <w:lang w:eastAsia="en-AU" w:bidi="he-IL"/>
        </w:rPr>
        <w:t xml:space="preserve"> 469-482.</w:t>
      </w:r>
    </w:p>
    <w:p w14:paraId="21F4D74D" w14:textId="77777777" w:rsidR="00973ABA" w:rsidRPr="00E51FA9" w:rsidRDefault="00973ABA" w:rsidP="00B10D81">
      <w:pPr>
        <w:spacing w:after="60" w:line="259" w:lineRule="auto"/>
        <w:rPr>
          <w:rFonts w:asciiTheme="majorBidi" w:hAnsiTheme="majorBidi" w:cstheme="majorBidi"/>
          <w:sz w:val="24"/>
          <w:szCs w:val="24"/>
          <w:lang w:eastAsia="en-AU" w:bidi="he-IL"/>
        </w:rPr>
      </w:pPr>
    </w:p>
    <w:p w14:paraId="18A7A593" w14:textId="38CC9B39"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Robinson, S. (2013). </w:t>
      </w:r>
      <w:r w:rsidRPr="00E51FA9">
        <w:rPr>
          <w:rFonts w:asciiTheme="majorBidi" w:hAnsiTheme="majorBidi" w:cstheme="majorBidi"/>
          <w:i/>
          <w:iCs/>
          <w:sz w:val="24"/>
          <w:szCs w:val="24"/>
        </w:rPr>
        <w:t>Preventing the emotional abuse and neglect of people with intellectual disability: Stopping insult and injury</w:t>
      </w:r>
      <w:r w:rsidRPr="00E51FA9">
        <w:rPr>
          <w:rFonts w:asciiTheme="majorBidi" w:hAnsiTheme="majorBidi" w:cstheme="majorBidi"/>
          <w:sz w:val="24"/>
          <w:szCs w:val="24"/>
        </w:rPr>
        <w:t xml:space="preserve">. </w:t>
      </w:r>
      <w:r w:rsidR="00973ABA">
        <w:rPr>
          <w:rFonts w:asciiTheme="majorBidi" w:hAnsiTheme="majorBidi" w:cstheme="majorBidi"/>
          <w:sz w:val="24"/>
          <w:szCs w:val="24"/>
        </w:rPr>
        <w:t xml:space="preserve">Warriewood, </w:t>
      </w:r>
      <w:r w:rsidR="0078243A">
        <w:rPr>
          <w:rFonts w:asciiTheme="majorBidi" w:hAnsiTheme="majorBidi" w:cstheme="majorBidi"/>
          <w:sz w:val="24"/>
          <w:szCs w:val="24"/>
        </w:rPr>
        <w:t>Australia</w:t>
      </w:r>
      <w:r w:rsidR="00973ABA">
        <w:rPr>
          <w:rFonts w:asciiTheme="majorBidi" w:hAnsiTheme="majorBidi" w:cstheme="majorBidi"/>
          <w:sz w:val="24"/>
          <w:szCs w:val="24"/>
        </w:rPr>
        <w:t xml:space="preserve">: </w:t>
      </w:r>
      <w:r w:rsidRPr="00E51FA9">
        <w:rPr>
          <w:rFonts w:asciiTheme="majorBidi" w:hAnsiTheme="majorBidi" w:cstheme="majorBidi"/>
          <w:sz w:val="24"/>
          <w:szCs w:val="24"/>
        </w:rPr>
        <w:t>Jessica Kingsley Publishers.</w:t>
      </w:r>
    </w:p>
    <w:p w14:paraId="7287AD73" w14:textId="77777777" w:rsidR="00A44B87" w:rsidRPr="00E51FA9" w:rsidRDefault="00A44B87" w:rsidP="00B10D81">
      <w:pPr>
        <w:spacing w:after="60"/>
        <w:rPr>
          <w:rFonts w:asciiTheme="majorBidi" w:hAnsiTheme="majorBidi" w:cstheme="majorBidi"/>
          <w:sz w:val="24"/>
          <w:szCs w:val="24"/>
        </w:rPr>
      </w:pPr>
    </w:p>
    <w:p w14:paraId="5A1605B1" w14:textId="2FB77EC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Robinson, S. (2012). </w:t>
      </w:r>
      <w:r w:rsidRPr="00E51FA9">
        <w:rPr>
          <w:rFonts w:asciiTheme="majorBidi" w:hAnsiTheme="majorBidi" w:cstheme="majorBidi"/>
          <w:i/>
          <w:iCs/>
          <w:sz w:val="24"/>
          <w:szCs w:val="24"/>
        </w:rPr>
        <w:t>Enabling and Protecting: Proactive approaches to addressing the abuse and neglect of children and young people with disability</w:t>
      </w:r>
      <w:r w:rsidRPr="00E51FA9">
        <w:rPr>
          <w:rFonts w:asciiTheme="majorBidi" w:hAnsiTheme="majorBidi" w:cstheme="majorBidi"/>
          <w:sz w:val="24"/>
          <w:szCs w:val="24"/>
        </w:rPr>
        <w:t>.</w:t>
      </w:r>
      <w:r w:rsidR="00973ABA">
        <w:rPr>
          <w:rFonts w:asciiTheme="majorBidi" w:hAnsiTheme="majorBidi" w:cstheme="majorBidi"/>
          <w:sz w:val="24"/>
          <w:szCs w:val="24"/>
        </w:rPr>
        <w:t xml:space="preserve"> </w:t>
      </w:r>
      <w:r w:rsidR="00861FCE">
        <w:rPr>
          <w:rFonts w:asciiTheme="majorBidi" w:hAnsiTheme="majorBidi" w:cstheme="majorBidi"/>
          <w:sz w:val="24"/>
          <w:szCs w:val="24"/>
        </w:rPr>
        <w:t>Retrieved</w:t>
      </w:r>
      <w:r w:rsidR="00973ABA">
        <w:rPr>
          <w:rFonts w:asciiTheme="majorBidi" w:hAnsiTheme="majorBidi" w:cstheme="majorBidi"/>
          <w:sz w:val="24"/>
          <w:szCs w:val="24"/>
        </w:rPr>
        <w:t xml:space="preserve"> from </w:t>
      </w:r>
      <w:hyperlink r:id="rId36" w:history="1">
        <w:r w:rsidR="00973ABA" w:rsidRPr="00C64B1F">
          <w:rPr>
            <w:rStyle w:val="Hyperlink"/>
            <w:rFonts w:asciiTheme="majorBidi" w:hAnsiTheme="majorBidi" w:cstheme="majorBidi"/>
            <w:color w:val="auto"/>
            <w:sz w:val="24"/>
            <w:szCs w:val="24"/>
            <w:u w:val="none"/>
          </w:rPr>
          <w:t>http://a4.org.au/sites/default/files/CDA%20Enabling%20and%20Protecting%20Issues%20nPaper.pdf</w:t>
        </w:r>
      </w:hyperlink>
      <w:r w:rsidR="00973ABA">
        <w:rPr>
          <w:rFonts w:asciiTheme="majorBidi" w:hAnsiTheme="majorBidi" w:cstheme="majorBidi"/>
          <w:sz w:val="24"/>
          <w:szCs w:val="24"/>
        </w:rPr>
        <w:t xml:space="preserve"> </w:t>
      </w:r>
    </w:p>
    <w:p w14:paraId="19E54D51" w14:textId="77777777" w:rsidR="00A44B87" w:rsidRPr="00E51FA9" w:rsidRDefault="00A44B87" w:rsidP="00B10D81">
      <w:pPr>
        <w:spacing w:after="60"/>
        <w:rPr>
          <w:rFonts w:asciiTheme="majorBidi" w:hAnsiTheme="majorBidi" w:cstheme="majorBidi"/>
          <w:sz w:val="24"/>
          <w:szCs w:val="24"/>
        </w:rPr>
      </w:pPr>
    </w:p>
    <w:p w14:paraId="0CD3D320"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Robinson, S., &amp; Chenoweth, L. (2012). Understanding emotional and psychological harm of people with intellectual disability: an evolving framework. </w:t>
      </w:r>
      <w:r w:rsidRPr="00E51FA9">
        <w:rPr>
          <w:rFonts w:asciiTheme="majorBidi" w:hAnsiTheme="majorBidi" w:cstheme="majorBidi"/>
          <w:i/>
          <w:iCs/>
          <w:sz w:val="24"/>
          <w:szCs w:val="24"/>
        </w:rPr>
        <w:t>The Journal of Adult Protection, 14(</w:t>
      </w:r>
      <w:r w:rsidRPr="00FD6865">
        <w:rPr>
          <w:rFonts w:asciiTheme="majorBidi" w:hAnsiTheme="majorBidi" w:cstheme="majorBidi"/>
          <w:iCs/>
          <w:sz w:val="24"/>
          <w:szCs w:val="24"/>
        </w:rPr>
        <w:t>3)</w:t>
      </w:r>
      <w:r w:rsidRPr="00973ABA">
        <w:rPr>
          <w:rFonts w:asciiTheme="majorBidi" w:hAnsiTheme="majorBidi" w:cstheme="majorBidi"/>
          <w:sz w:val="24"/>
          <w:szCs w:val="24"/>
        </w:rPr>
        <w:t>,</w:t>
      </w:r>
      <w:r w:rsidRPr="00E51FA9">
        <w:rPr>
          <w:rFonts w:asciiTheme="majorBidi" w:hAnsiTheme="majorBidi" w:cstheme="majorBidi"/>
          <w:sz w:val="24"/>
          <w:szCs w:val="24"/>
        </w:rPr>
        <w:t xml:space="preserve"> 110-121.</w:t>
      </w:r>
    </w:p>
    <w:p w14:paraId="35573D08" w14:textId="77777777" w:rsidR="00A44B87" w:rsidRPr="00E51FA9" w:rsidRDefault="00A44B87" w:rsidP="00B10D81">
      <w:pPr>
        <w:spacing w:after="60"/>
        <w:rPr>
          <w:rFonts w:asciiTheme="majorBidi" w:hAnsiTheme="majorBidi" w:cstheme="majorBidi"/>
          <w:sz w:val="24"/>
          <w:szCs w:val="24"/>
        </w:rPr>
      </w:pPr>
    </w:p>
    <w:p w14:paraId="6ECD1D8A"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Robinson, S., &amp; Chenoweth, L. (2011). Preventing abuse in accommodation services: From procedural response to protective cultures. </w:t>
      </w:r>
      <w:r w:rsidRPr="00E51FA9">
        <w:rPr>
          <w:rFonts w:asciiTheme="majorBidi" w:hAnsiTheme="majorBidi" w:cstheme="majorBidi"/>
          <w:i/>
          <w:iCs/>
          <w:sz w:val="24"/>
          <w:szCs w:val="24"/>
        </w:rPr>
        <w:t>Journal of Intellectual Disabilities, 15</w:t>
      </w:r>
      <w:r w:rsidRPr="00FD6865">
        <w:rPr>
          <w:rFonts w:asciiTheme="majorBidi" w:hAnsiTheme="majorBidi" w:cstheme="majorBidi"/>
          <w:iCs/>
          <w:sz w:val="24"/>
          <w:szCs w:val="24"/>
        </w:rPr>
        <w:t>(1),</w:t>
      </w:r>
      <w:r w:rsidRPr="00E51FA9">
        <w:rPr>
          <w:rFonts w:asciiTheme="majorBidi" w:hAnsiTheme="majorBidi" w:cstheme="majorBidi"/>
          <w:sz w:val="24"/>
          <w:szCs w:val="24"/>
        </w:rPr>
        <w:t xml:space="preserve"> 63-74.</w:t>
      </w:r>
    </w:p>
    <w:p w14:paraId="4DF33BD5" w14:textId="77777777" w:rsidR="00A44B87" w:rsidRPr="00E51FA9" w:rsidRDefault="00A44B87" w:rsidP="00B10D81">
      <w:pPr>
        <w:spacing w:after="60"/>
        <w:rPr>
          <w:rFonts w:asciiTheme="majorBidi" w:hAnsiTheme="majorBidi" w:cstheme="majorBidi"/>
          <w:sz w:val="24"/>
          <w:szCs w:val="24"/>
        </w:rPr>
      </w:pPr>
    </w:p>
    <w:p w14:paraId="55E6E040" w14:textId="112492BB"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Robinson, S. &amp; Chenoweth, L. (2005) ‘Off the Radar: Abuse and Neglect of People with Disability’, paper delivered at </w:t>
      </w:r>
      <w:r w:rsidRPr="00E51FA9">
        <w:rPr>
          <w:rFonts w:asciiTheme="majorBidi" w:hAnsiTheme="majorBidi" w:cstheme="majorBidi"/>
          <w:i/>
          <w:iCs/>
          <w:sz w:val="24"/>
          <w:szCs w:val="24"/>
        </w:rPr>
        <w:t>ASSID 40th Annual Conference: Out of the Ordinary? Creativity, Cooperation, Collaboration</w:t>
      </w:r>
      <w:r w:rsidRPr="00E51FA9">
        <w:rPr>
          <w:rFonts w:asciiTheme="majorBidi" w:hAnsiTheme="majorBidi" w:cstheme="majorBidi"/>
          <w:sz w:val="24"/>
          <w:szCs w:val="24"/>
        </w:rPr>
        <w:t>. Auckland, New Zealand.</w:t>
      </w:r>
    </w:p>
    <w:p w14:paraId="4E7A9BD1" w14:textId="77777777" w:rsidR="00A44B87" w:rsidRPr="00E51FA9" w:rsidRDefault="00A44B87" w:rsidP="00B10D81">
      <w:pPr>
        <w:spacing w:after="60"/>
        <w:rPr>
          <w:rFonts w:asciiTheme="majorBidi" w:hAnsiTheme="majorBidi" w:cstheme="majorBidi"/>
          <w:sz w:val="24"/>
          <w:szCs w:val="24"/>
        </w:rPr>
      </w:pPr>
    </w:p>
    <w:p w14:paraId="50B88900"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Rowsell, A. C., Clare, I. C., &amp; Murphy, G. H. (2013). The psychological impact of abuse on men and women with severe intellectual disabilities. </w:t>
      </w:r>
      <w:r w:rsidRPr="00E51FA9">
        <w:rPr>
          <w:rFonts w:asciiTheme="majorBidi" w:hAnsiTheme="majorBidi" w:cstheme="majorBidi"/>
          <w:i/>
          <w:iCs/>
          <w:sz w:val="24"/>
          <w:szCs w:val="24"/>
        </w:rPr>
        <w:t>Journal of Applied Research in Intellectual Disabilities, 26</w:t>
      </w:r>
      <w:r w:rsidRPr="00FD6865">
        <w:rPr>
          <w:rFonts w:asciiTheme="majorBidi" w:hAnsiTheme="majorBidi" w:cstheme="majorBidi"/>
          <w:iCs/>
          <w:sz w:val="24"/>
          <w:szCs w:val="24"/>
        </w:rPr>
        <w:t>(4),</w:t>
      </w:r>
      <w:r w:rsidRPr="00E51FA9">
        <w:rPr>
          <w:rFonts w:asciiTheme="majorBidi" w:hAnsiTheme="majorBidi" w:cstheme="majorBidi"/>
          <w:sz w:val="24"/>
          <w:szCs w:val="24"/>
        </w:rPr>
        <w:t xml:space="preserve"> 257-270.</w:t>
      </w:r>
    </w:p>
    <w:p w14:paraId="526CAA4D" w14:textId="77777777"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 </w:t>
      </w:r>
    </w:p>
    <w:p w14:paraId="2DCE3BFE" w14:textId="7F95B16D"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 xml:space="preserve">Rusch, R. G., Hall, J. C., &amp; Griffin, H. C. (1986). Abuse-provoking characteristics of institutionalized mentally retarded individuals. </w:t>
      </w:r>
      <w:r w:rsidRPr="00E51FA9">
        <w:rPr>
          <w:rFonts w:asciiTheme="majorBidi" w:hAnsiTheme="majorBidi" w:cstheme="majorBidi"/>
          <w:i/>
          <w:iCs/>
          <w:sz w:val="24"/>
          <w:szCs w:val="24"/>
          <w:lang w:eastAsia="en-AU" w:bidi="he-IL"/>
        </w:rPr>
        <w:t>American Journal of Mental Deficiency</w:t>
      </w:r>
      <w:r w:rsidR="00504615">
        <w:rPr>
          <w:rFonts w:asciiTheme="majorBidi" w:hAnsiTheme="majorBidi" w:cstheme="majorBidi"/>
          <w:sz w:val="24"/>
          <w:szCs w:val="24"/>
          <w:lang w:eastAsia="en-AU" w:bidi="he-IL"/>
        </w:rPr>
        <w:t>, 90</w:t>
      </w:r>
      <w:r w:rsidR="00504615">
        <w:rPr>
          <w:rFonts w:asciiTheme="majorBidi" w:hAnsiTheme="majorBidi" w:cstheme="majorBidi"/>
          <w:i/>
          <w:sz w:val="24"/>
          <w:szCs w:val="24"/>
          <w:lang w:eastAsia="en-AU" w:bidi="he-IL"/>
        </w:rPr>
        <w:t>(6), 618-624.</w:t>
      </w:r>
    </w:p>
    <w:p w14:paraId="5BE047F4" w14:textId="77777777" w:rsidR="00A44B87" w:rsidRPr="00E51FA9" w:rsidRDefault="00A44B87" w:rsidP="00B10D81">
      <w:pPr>
        <w:spacing w:after="60"/>
        <w:rPr>
          <w:rFonts w:asciiTheme="majorBidi" w:hAnsiTheme="majorBidi" w:cstheme="majorBidi"/>
          <w:sz w:val="24"/>
          <w:szCs w:val="24"/>
          <w:lang w:eastAsia="en-AU" w:bidi="he-IL"/>
        </w:rPr>
      </w:pPr>
    </w:p>
    <w:p w14:paraId="46353CD3" w14:textId="5CB0F129"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Saxton</w:t>
      </w:r>
      <w:r w:rsidR="004C1540">
        <w:rPr>
          <w:rFonts w:asciiTheme="majorBidi" w:hAnsiTheme="majorBidi" w:cstheme="majorBidi"/>
          <w:sz w:val="24"/>
          <w:szCs w:val="24"/>
        </w:rPr>
        <w:t>,</w:t>
      </w:r>
      <w:r w:rsidRPr="00E51FA9">
        <w:rPr>
          <w:rFonts w:asciiTheme="majorBidi" w:hAnsiTheme="majorBidi" w:cstheme="majorBidi"/>
          <w:sz w:val="24"/>
          <w:szCs w:val="24"/>
        </w:rPr>
        <w:t xml:space="preserve"> M., Curry</w:t>
      </w:r>
      <w:r w:rsidR="004C1540">
        <w:rPr>
          <w:rFonts w:asciiTheme="majorBidi" w:hAnsiTheme="majorBidi" w:cstheme="majorBidi"/>
          <w:sz w:val="24"/>
          <w:szCs w:val="24"/>
        </w:rPr>
        <w:t>,</w:t>
      </w:r>
      <w:r w:rsidRPr="00E51FA9">
        <w:rPr>
          <w:rFonts w:asciiTheme="majorBidi" w:hAnsiTheme="majorBidi" w:cstheme="majorBidi"/>
          <w:sz w:val="24"/>
          <w:szCs w:val="24"/>
        </w:rPr>
        <w:t xml:space="preserve"> M. A., Powers</w:t>
      </w:r>
      <w:r w:rsidR="004C1540">
        <w:rPr>
          <w:rFonts w:asciiTheme="majorBidi" w:hAnsiTheme="majorBidi" w:cstheme="majorBidi"/>
          <w:sz w:val="24"/>
          <w:szCs w:val="24"/>
        </w:rPr>
        <w:t>,</w:t>
      </w:r>
      <w:r w:rsidRPr="00E51FA9">
        <w:rPr>
          <w:rFonts w:asciiTheme="majorBidi" w:hAnsiTheme="majorBidi" w:cstheme="majorBidi"/>
          <w:sz w:val="24"/>
          <w:szCs w:val="24"/>
        </w:rPr>
        <w:t xml:space="preserve"> L. E., Maley</w:t>
      </w:r>
      <w:r w:rsidR="004C1540">
        <w:rPr>
          <w:rFonts w:asciiTheme="majorBidi" w:hAnsiTheme="majorBidi" w:cstheme="majorBidi"/>
          <w:sz w:val="24"/>
          <w:szCs w:val="24"/>
        </w:rPr>
        <w:t>,</w:t>
      </w:r>
      <w:r w:rsidRPr="00E51FA9">
        <w:rPr>
          <w:rFonts w:asciiTheme="majorBidi" w:hAnsiTheme="majorBidi" w:cstheme="majorBidi"/>
          <w:sz w:val="24"/>
          <w:szCs w:val="24"/>
        </w:rPr>
        <w:t xml:space="preserve"> S., Eckels</w:t>
      </w:r>
      <w:r w:rsidR="004C1540">
        <w:rPr>
          <w:rFonts w:asciiTheme="majorBidi" w:hAnsiTheme="majorBidi" w:cstheme="majorBidi"/>
          <w:sz w:val="24"/>
          <w:szCs w:val="24"/>
        </w:rPr>
        <w:t>,</w:t>
      </w:r>
      <w:r w:rsidRPr="00E51FA9">
        <w:rPr>
          <w:rFonts w:asciiTheme="majorBidi" w:hAnsiTheme="majorBidi" w:cstheme="majorBidi"/>
          <w:sz w:val="24"/>
          <w:szCs w:val="24"/>
        </w:rPr>
        <w:t xml:space="preserve"> K., </w:t>
      </w:r>
      <w:r w:rsidR="004C1540">
        <w:rPr>
          <w:rFonts w:asciiTheme="majorBidi" w:hAnsiTheme="majorBidi" w:cstheme="majorBidi"/>
          <w:sz w:val="24"/>
          <w:szCs w:val="24"/>
        </w:rPr>
        <w:t xml:space="preserve">&amp; </w:t>
      </w:r>
      <w:r w:rsidRPr="00E51FA9">
        <w:rPr>
          <w:rFonts w:asciiTheme="majorBidi" w:hAnsiTheme="majorBidi" w:cstheme="majorBidi"/>
          <w:sz w:val="24"/>
          <w:szCs w:val="24"/>
        </w:rPr>
        <w:t>Gross</w:t>
      </w:r>
      <w:r w:rsidR="004C1540">
        <w:rPr>
          <w:rFonts w:asciiTheme="majorBidi" w:hAnsiTheme="majorBidi" w:cstheme="majorBidi"/>
          <w:sz w:val="24"/>
          <w:szCs w:val="24"/>
        </w:rPr>
        <w:t>,</w:t>
      </w:r>
      <w:r w:rsidRPr="00E51FA9">
        <w:rPr>
          <w:rFonts w:asciiTheme="majorBidi" w:hAnsiTheme="majorBidi" w:cstheme="majorBidi"/>
          <w:sz w:val="24"/>
          <w:szCs w:val="24"/>
        </w:rPr>
        <w:t xml:space="preserve"> J. (2001). “Bring my scooter so I can leave you”: A study of disabled women handling abuse by personal assistance providers. </w:t>
      </w:r>
      <w:r w:rsidRPr="00E51FA9">
        <w:rPr>
          <w:rFonts w:asciiTheme="majorBidi" w:hAnsiTheme="majorBidi" w:cstheme="majorBidi"/>
          <w:i/>
          <w:iCs/>
          <w:sz w:val="24"/>
          <w:szCs w:val="24"/>
        </w:rPr>
        <w:t>Violence Against Women, 7</w:t>
      </w:r>
      <w:r w:rsidRPr="00E51FA9">
        <w:rPr>
          <w:rFonts w:asciiTheme="majorBidi" w:hAnsiTheme="majorBidi" w:cstheme="majorBidi"/>
          <w:sz w:val="24"/>
          <w:szCs w:val="24"/>
        </w:rPr>
        <w:t xml:space="preserve">, 393–417. </w:t>
      </w:r>
    </w:p>
    <w:p w14:paraId="036B34AF" w14:textId="77777777" w:rsidR="00A44B87" w:rsidRPr="00E51FA9" w:rsidRDefault="00A44B87" w:rsidP="00B10D81">
      <w:pPr>
        <w:spacing w:after="60"/>
        <w:rPr>
          <w:rFonts w:asciiTheme="majorBidi" w:hAnsiTheme="majorBidi" w:cstheme="majorBidi"/>
          <w:sz w:val="24"/>
          <w:szCs w:val="24"/>
        </w:rPr>
      </w:pPr>
    </w:p>
    <w:p w14:paraId="42D0E2BC" w14:textId="6A5CF7A3"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Schalock, R. L., Verdugo, M. A., &amp; Braddock, D. L. (2002). </w:t>
      </w:r>
      <w:r w:rsidRPr="00E51FA9">
        <w:rPr>
          <w:rFonts w:asciiTheme="majorBidi" w:hAnsiTheme="majorBidi" w:cstheme="majorBidi"/>
          <w:i/>
          <w:iCs/>
          <w:sz w:val="24"/>
          <w:szCs w:val="24"/>
        </w:rPr>
        <w:t>Handbook on quality of life for human service practitioners</w:t>
      </w:r>
      <w:r w:rsidRPr="00E51FA9">
        <w:rPr>
          <w:rFonts w:asciiTheme="majorBidi" w:hAnsiTheme="majorBidi" w:cstheme="majorBidi"/>
          <w:sz w:val="24"/>
          <w:szCs w:val="24"/>
        </w:rPr>
        <w:t xml:space="preserve">. Washington, </w:t>
      </w:r>
      <w:r w:rsidR="0078243A">
        <w:rPr>
          <w:rFonts w:asciiTheme="majorBidi" w:hAnsiTheme="majorBidi" w:cstheme="majorBidi"/>
          <w:sz w:val="24"/>
          <w:szCs w:val="24"/>
        </w:rPr>
        <w:t>USA</w:t>
      </w:r>
      <w:r w:rsidRPr="00E51FA9">
        <w:rPr>
          <w:rFonts w:asciiTheme="majorBidi" w:hAnsiTheme="majorBidi" w:cstheme="majorBidi"/>
          <w:sz w:val="24"/>
          <w:szCs w:val="24"/>
        </w:rPr>
        <w:t>: American Association on Mental Retardation.</w:t>
      </w:r>
    </w:p>
    <w:p w14:paraId="629712DF" w14:textId="77777777" w:rsidR="00A44B87" w:rsidRPr="00E51FA9" w:rsidRDefault="00A44B87" w:rsidP="00B10D81">
      <w:pPr>
        <w:spacing w:after="60"/>
        <w:rPr>
          <w:rFonts w:asciiTheme="majorBidi" w:hAnsiTheme="majorBidi" w:cstheme="majorBidi"/>
          <w:sz w:val="24"/>
          <w:szCs w:val="24"/>
        </w:rPr>
      </w:pPr>
    </w:p>
    <w:p w14:paraId="58BBE747" w14:textId="63E89290"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Sequeira</w:t>
      </w:r>
      <w:r w:rsidR="00357FD5">
        <w:rPr>
          <w:rFonts w:asciiTheme="majorBidi" w:hAnsiTheme="majorBidi" w:cstheme="majorBidi"/>
          <w:sz w:val="24"/>
          <w:szCs w:val="24"/>
        </w:rPr>
        <w:t>,</w:t>
      </w:r>
      <w:r w:rsidRPr="00E51FA9">
        <w:rPr>
          <w:rFonts w:asciiTheme="majorBidi" w:hAnsiTheme="majorBidi" w:cstheme="majorBidi"/>
          <w:sz w:val="24"/>
          <w:szCs w:val="24"/>
        </w:rPr>
        <w:t xml:space="preserve"> H., Howlin</w:t>
      </w:r>
      <w:r w:rsidR="00357FD5">
        <w:rPr>
          <w:rFonts w:asciiTheme="majorBidi" w:hAnsiTheme="majorBidi" w:cstheme="majorBidi"/>
          <w:sz w:val="24"/>
          <w:szCs w:val="24"/>
        </w:rPr>
        <w:t>,</w:t>
      </w:r>
      <w:r w:rsidRPr="00E51FA9">
        <w:rPr>
          <w:rFonts w:asciiTheme="majorBidi" w:hAnsiTheme="majorBidi" w:cstheme="majorBidi"/>
          <w:sz w:val="24"/>
          <w:szCs w:val="24"/>
        </w:rPr>
        <w:t xml:space="preserve"> P. &amp; Hollins</w:t>
      </w:r>
      <w:r w:rsidR="00357FD5">
        <w:rPr>
          <w:rFonts w:asciiTheme="majorBidi" w:hAnsiTheme="majorBidi" w:cstheme="majorBidi"/>
          <w:sz w:val="24"/>
          <w:szCs w:val="24"/>
        </w:rPr>
        <w:t>,</w:t>
      </w:r>
      <w:r w:rsidRPr="00E51FA9">
        <w:rPr>
          <w:rFonts w:asciiTheme="majorBidi" w:hAnsiTheme="majorBidi" w:cstheme="majorBidi"/>
          <w:sz w:val="24"/>
          <w:szCs w:val="24"/>
        </w:rPr>
        <w:t xml:space="preserve"> S. (2003)</w:t>
      </w:r>
      <w:r w:rsidR="00357FD5">
        <w:rPr>
          <w:rFonts w:asciiTheme="majorBidi" w:hAnsiTheme="majorBidi" w:cstheme="majorBidi"/>
          <w:sz w:val="24"/>
          <w:szCs w:val="24"/>
        </w:rPr>
        <w:t>.</w:t>
      </w:r>
      <w:r w:rsidRPr="00E51FA9">
        <w:rPr>
          <w:rFonts w:asciiTheme="majorBidi" w:hAnsiTheme="majorBidi" w:cstheme="majorBidi"/>
          <w:sz w:val="24"/>
          <w:szCs w:val="24"/>
        </w:rPr>
        <w:t xml:space="preserve"> Psychological disturbance associated with sexual abuse in people with learning disabilities. </w:t>
      </w:r>
      <w:r w:rsidRPr="00E51FA9">
        <w:rPr>
          <w:rFonts w:asciiTheme="majorBidi" w:hAnsiTheme="majorBidi" w:cstheme="majorBidi"/>
          <w:i/>
          <w:iCs/>
          <w:sz w:val="24"/>
          <w:szCs w:val="24"/>
        </w:rPr>
        <w:t>British Journal of Psychiatry 183</w:t>
      </w:r>
      <w:r w:rsidRPr="00E51FA9">
        <w:rPr>
          <w:rFonts w:asciiTheme="majorBidi" w:hAnsiTheme="majorBidi" w:cstheme="majorBidi"/>
          <w:sz w:val="24"/>
          <w:szCs w:val="24"/>
        </w:rPr>
        <w:t>, 451–456.</w:t>
      </w:r>
    </w:p>
    <w:p w14:paraId="3BA468B5" w14:textId="77777777" w:rsidR="00A44B87" w:rsidRPr="00E51FA9" w:rsidRDefault="00A44B87" w:rsidP="00B10D81">
      <w:pPr>
        <w:spacing w:after="60"/>
        <w:rPr>
          <w:rFonts w:asciiTheme="majorBidi" w:hAnsiTheme="majorBidi" w:cstheme="majorBidi"/>
          <w:sz w:val="24"/>
          <w:szCs w:val="24"/>
        </w:rPr>
      </w:pPr>
    </w:p>
    <w:p w14:paraId="2D51C065" w14:textId="11FB8E26"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Shonkoff</w:t>
      </w:r>
      <w:r w:rsidR="00357FD5">
        <w:rPr>
          <w:rFonts w:asciiTheme="majorBidi" w:hAnsiTheme="majorBidi" w:cstheme="majorBidi"/>
          <w:sz w:val="24"/>
          <w:szCs w:val="24"/>
        </w:rPr>
        <w:t>,</w:t>
      </w:r>
      <w:r w:rsidRPr="00E51FA9">
        <w:rPr>
          <w:rFonts w:asciiTheme="majorBidi" w:hAnsiTheme="majorBidi" w:cstheme="majorBidi"/>
          <w:sz w:val="24"/>
          <w:szCs w:val="24"/>
        </w:rPr>
        <w:t xml:space="preserve"> J. P., Boyce</w:t>
      </w:r>
      <w:r w:rsidR="00357FD5">
        <w:rPr>
          <w:rFonts w:asciiTheme="majorBidi" w:hAnsiTheme="majorBidi" w:cstheme="majorBidi"/>
          <w:sz w:val="24"/>
          <w:szCs w:val="24"/>
        </w:rPr>
        <w:t>,</w:t>
      </w:r>
      <w:r w:rsidRPr="00E51FA9">
        <w:rPr>
          <w:rFonts w:asciiTheme="majorBidi" w:hAnsiTheme="majorBidi" w:cstheme="majorBidi"/>
          <w:sz w:val="24"/>
          <w:szCs w:val="24"/>
        </w:rPr>
        <w:t xml:space="preserve"> W. T., </w:t>
      </w:r>
      <w:r w:rsidR="00357FD5">
        <w:rPr>
          <w:rFonts w:asciiTheme="majorBidi" w:hAnsiTheme="majorBidi" w:cstheme="majorBidi"/>
          <w:sz w:val="24"/>
          <w:szCs w:val="24"/>
        </w:rPr>
        <w:t xml:space="preserve">&amp; </w:t>
      </w:r>
      <w:r w:rsidRPr="00E51FA9">
        <w:rPr>
          <w:rFonts w:asciiTheme="majorBidi" w:hAnsiTheme="majorBidi" w:cstheme="majorBidi"/>
          <w:sz w:val="24"/>
          <w:szCs w:val="24"/>
        </w:rPr>
        <w:t>McEwen</w:t>
      </w:r>
      <w:r w:rsidR="00357FD5">
        <w:rPr>
          <w:rFonts w:asciiTheme="majorBidi" w:hAnsiTheme="majorBidi" w:cstheme="majorBidi"/>
          <w:sz w:val="24"/>
          <w:szCs w:val="24"/>
        </w:rPr>
        <w:t>,</w:t>
      </w:r>
      <w:r w:rsidRPr="00E51FA9">
        <w:rPr>
          <w:rFonts w:asciiTheme="majorBidi" w:hAnsiTheme="majorBidi" w:cstheme="majorBidi"/>
          <w:sz w:val="24"/>
          <w:szCs w:val="24"/>
        </w:rPr>
        <w:t xml:space="preserve"> B. S. (2009). Neuroscience, molecular biology, and the childhood roots of health disparities building a new framework for health promotion and disease prevention. </w:t>
      </w:r>
      <w:r w:rsidRPr="00E51FA9">
        <w:rPr>
          <w:rFonts w:asciiTheme="majorBidi" w:hAnsiTheme="majorBidi" w:cstheme="majorBidi"/>
          <w:i/>
          <w:iCs/>
          <w:sz w:val="24"/>
          <w:szCs w:val="24"/>
        </w:rPr>
        <w:t>Journal of the American Medical Association, 301</w:t>
      </w:r>
      <w:r w:rsidRPr="00E51FA9">
        <w:rPr>
          <w:rFonts w:asciiTheme="majorBidi" w:hAnsiTheme="majorBidi" w:cstheme="majorBidi"/>
          <w:sz w:val="24"/>
          <w:szCs w:val="24"/>
        </w:rPr>
        <w:t>, 2252-2259.</w:t>
      </w:r>
    </w:p>
    <w:p w14:paraId="344EB7F6" w14:textId="77777777" w:rsidR="00A44B87" w:rsidRPr="00E51FA9" w:rsidRDefault="00A44B87" w:rsidP="00B10D81">
      <w:pPr>
        <w:spacing w:after="60"/>
        <w:rPr>
          <w:rFonts w:asciiTheme="majorBidi" w:hAnsiTheme="majorBidi" w:cstheme="majorBidi"/>
          <w:sz w:val="24"/>
          <w:szCs w:val="24"/>
        </w:rPr>
      </w:pPr>
    </w:p>
    <w:p w14:paraId="4AF426F7" w14:textId="4063529E"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Shonkoff</w:t>
      </w:r>
      <w:r w:rsidR="00357FD5">
        <w:rPr>
          <w:rFonts w:asciiTheme="majorBidi" w:hAnsiTheme="majorBidi" w:cstheme="majorBidi"/>
          <w:sz w:val="24"/>
          <w:szCs w:val="24"/>
        </w:rPr>
        <w:t>,</w:t>
      </w:r>
      <w:r w:rsidRPr="00E51FA9">
        <w:rPr>
          <w:rFonts w:asciiTheme="majorBidi" w:hAnsiTheme="majorBidi" w:cstheme="majorBidi"/>
          <w:sz w:val="24"/>
          <w:szCs w:val="24"/>
        </w:rPr>
        <w:t xml:space="preserve"> J. P., </w:t>
      </w:r>
      <w:r w:rsidR="00357FD5">
        <w:rPr>
          <w:rFonts w:asciiTheme="majorBidi" w:hAnsiTheme="majorBidi" w:cstheme="majorBidi"/>
          <w:sz w:val="24"/>
          <w:szCs w:val="24"/>
        </w:rPr>
        <w:t xml:space="preserve">&amp; </w:t>
      </w:r>
      <w:r w:rsidRPr="00E51FA9">
        <w:rPr>
          <w:rFonts w:asciiTheme="majorBidi" w:hAnsiTheme="majorBidi" w:cstheme="majorBidi"/>
          <w:sz w:val="24"/>
          <w:szCs w:val="24"/>
        </w:rPr>
        <w:t>Garner</w:t>
      </w:r>
      <w:r w:rsidR="00357FD5">
        <w:rPr>
          <w:rFonts w:asciiTheme="majorBidi" w:hAnsiTheme="majorBidi" w:cstheme="majorBidi"/>
          <w:sz w:val="24"/>
          <w:szCs w:val="24"/>
        </w:rPr>
        <w:t>,</w:t>
      </w:r>
      <w:r w:rsidRPr="00E51FA9">
        <w:rPr>
          <w:rFonts w:asciiTheme="majorBidi" w:hAnsiTheme="majorBidi" w:cstheme="majorBidi"/>
          <w:sz w:val="24"/>
          <w:szCs w:val="24"/>
        </w:rPr>
        <w:t xml:space="preserve"> A. S. (2012). The lifelong effects of early childhood adversity and toxic stress. </w:t>
      </w:r>
      <w:proofErr w:type="spellStart"/>
      <w:r w:rsidRPr="00E51FA9">
        <w:rPr>
          <w:rFonts w:asciiTheme="majorBidi" w:hAnsiTheme="majorBidi" w:cstheme="majorBidi"/>
          <w:i/>
          <w:iCs/>
          <w:sz w:val="24"/>
          <w:szCs w:val="24"/>
        </w:rPr>
        <w:t>Pediatrics</w:t>
      </w:r>
      <w:proofErr w:type="spellEnd"/>
      <w:r w:rsidRPr="00E51FA9">
        <w:rPr>
          <w:rFonts w:asciiTheme="majorBidi" w:hAnsiTheme="majorBidi" w:cstheme="majorBidi"/>
          <w:i/>
          <w:iCs/>
          <w:sz w:val="24"/>
          <w:szCs w:val="24"/>
        </w:rPr>
        <w:t>, 129</w:t>
      </w:r>
      <w:r w:rsidRPr="00E51FA9">
        <w:rPr>
          <w:rFonts w:asciiTheme="majorBidi" w:hAnsiTheme="majorBidi" w:cstheme="majorBidi"/>
          <w:sz w:val="24"/>
          <w:szCs w:val="24"/>
        </w:rPr>
        <w:t>, E232-E246. doi:10.1542/peds.2011-2663.</w:t>
      </w:r>
    </w:p>
    <w:p w14:paraId="6A2DAF8E" w14:textId="77777777" w:rsidR="00230ED0" w:rsidRDefault="00230ED0" w:rsidP="00230ED0">
      <w:pPr>
        <w:rPr>
          <w:color w:val="000000"/>
          <w:sz w:val="24"/>
          <w:szCs w:val="24"/>
          <w:shd w:val="clear" w:color="auto" w:fill="FFFFFF"/>
          <w:lang w:val="en-US"/>
        </w:rPr>
      </w:pPr>
    </w:p>
    <w:p w14:paraId="29DEFA1B" w14:textId="3DC2986F" w:rsidR="00230ED0" w:rsidRPr="00230ED0" w:rsidRDefault="00230ED0" w:rsidP="00230ED0">
      <w:pPr>
        <w:rPr>
          <w:sz w:val="24"/>
          <w:szCs w:val="24"/>
          <w:lang w:val="en-US"/>
        </w:rPr>
      </w:pPr>
      <w:r w:rsidRPr="00230ED0">
        <w:rPr>
          <w:color w:val="000000"/>
          <w:sz w:val="24"/>
          <w:szCs w:val="24"/>
          <w:shd w:val="clear" w:color="auto" w:fill="FFFFFF"/>
          <w:lang w:val="en-US"/>
        </w:rPr>
        <w:t>Smith, D. L. (2008). Disability, gender and intimate partner violence: Relationships from the behavioral risk factor surveillance system</w:t>
      </w:r>
      <w:r w:rsidRPr="00230ED0">
        <w:rPr>
          <w:i/>
          <w:color w:val="000000"/>
          <w:sz w:val="24"/>
          <w:szCs w:val="24"/>
          <w:shd w:val="clear" w:color="auto" w:fill="FFFFFF"/>
          <w:lang w:val="en-US"/>
        </w:rPr>
        <w:t>. Sexuality and Disability</w:t>
      </w:r>
      <w:r w:rsidRPr="00230ED0">
        <w:rPr>
          <w:color w:val="000000"/>
          <w:sz w:val="24"/>
          <w:szCs w:val="24"/>
          <w:shd w:val="clear" w:color="auto" w:fill="FFFFFF"/>
          <w:lang w:val="en-US"/>
        </w:rPr>
        <w:t>, 26(1), 15</w:t>
      </w:r>
      <w:r w:rsidR="00AC4347">
        <w:rPr>
          <w:color w:val="000000"/>
          <w:sz w:val="24"/>
          <w:szCs w:val="24"/>
          <w:shd w:val="clear" w:color="auto" w:fill="FFFFFF"/>
          <w:lang w:val="en-US"/>
        </w:rPr>
        <w:t>-28</w:t>
      </w:r>
    </w:p>
    <w:p w14:paraId="1387C054" w14:textId="77777777" w:rsidR="00A44B87" w:rsidRPr="00E51FA9" w:rsidRDefault="00A44B87" w:rsidP="00B10D81">
      <w:pPr>
        <w:spacing w:after="60"/>
        <w:rPr>
          <w:rFonts w:asciiTheme="majorBidi" w:hAnsiTheme="majorBidi" w:cstheme="majorBidi"/>
          <w:sz w:val="24"/>
          <w:szCs w:val="24"/>
        </w:rPr>
      </w:pPr>
    </w:p>
    <w:p w14:paraId="59EA0DE3" w14:textId="00E71CEF"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Sobsey, D. (1994)</w:t>
      </w:r>
      <w:r w:rsidR="00357FD5">
        <w:rPr>
          <w:rFonts w:asciiTheme="majorBidi" w:hAnsiTheme="majorBidi" w:cstheme="majorBidi"/>
          <w:sz w:val="24"/>
          <w:szCs w:val="24"/>
        </w:rPr>
        <w:t>.</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Violence and Abuse in the Lives of People with Disabilities: The End of Silent Acceptance</w:t>
      </w:r>
      <w:r w:rsidRPr="00E51FA9">
        <w:rPr>
          <w:rFonts w:asciiTheme="majorBidi" w:hAnsiTheme="majorBidi" w:cstheme="majorBidi"/>
          <w:sz w:val="24"/>
          <w:szCs w:val="24"/>
        </w:rPr>
        <w:t>? Baltimore</w:t>
      </w:r>
      <w:r w:rsidR="008A392C">
        <w:rPr>
          <w:rFonts w:asciiTheme="majorBidi" w:hAnsiTheme="majorBidi" w:cstheme="majorBidi"/>
          <w:sz w:val="24"/>
          <w:szCs w:val="24"/>
        </w:rPr>
        <w:t>, USA</w:t>
      </w:r>
      <w:r w:rsidRPr="00E51FA9">
        <w:rPr>
          <w:rFonts w:asciiTheme="majorBidi" w:hAnsiTheme="majorBidi" w:cstheme="majorBidi"/>
          <w:sz w:val="24"/>
          <w:szCs w:val="24"/>
        </w:rPr>
        <w:t>: Brookes.</w:t>
      </w:r>
    </w:p>
    <w:p w14:paraId="38FB2422" w14:textId="6C5C7DFD" w:rsidR="00357FD5" w:rsidRPr="00E51FA9" w:rsidRDefault="00357FD5" w:rsidP="00B10D81">
      <w:pPr>
        <w:spacing w:after="60"/>
        <w:rPr>
          <w:rFonts w:asciiTheme="majorBidi" w:hAnsiTheme="majorBidi" w:cstheme="majorBidi"/>
          <w:sz w:val="24"/>
          <w:szCs w:val="24"/>
        </w:rPr>
      </w:pPr>
    </w:p>
    <w:p w14:paraId="08C66D9F"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Sobsey, D., &amp; Doe, T. (1991). Patterns of sexual abuse and assault. </w:t>
      </w:r>
      <w:r w:rsidRPr="00E51FA9">
        <w:rPr>
          <w:rFonts w:asciiTheme="majorBidi" w:hAnsiTheme="majorBidi" w:cstheme="majorBidi"/>
          <w:i/>
          <w:iCs/>
          <w:sz w:val="24"/>
          <w:szCs w:val="24"/>
        </w:rPr>
        <w:t>Sexuality and Disability, 9(3),</w:t>
      </w:r>
      <w:r w:rsidRPr="00E51FA9">
        <w:rPr>
          <w:rFonts w:asciiTheme="majorBidi" w:hAnsiTheme="majorBidi" w:cstheme="majorBidi"/>
          <w:sz w:val="24"/>
          <w:szCs w:val="24"/>
        </w:rPr>
        <w:t xml:space="preserve"> 243-259.</w:t>
      </w:r>
    </w:p>
    <w:p w14:paraId="3F68281C" w14:textId="77777777" w:rsidR="00A44B87" w:rsidRPr="00E51FA9" w:rsidRDefault="00A44B87" w:rsidP="00B10D81">
      <w:pPr>
        <w:spacing w:after="60"/>
        <w:rPr>
          <w:rFonts w:asciiTheme="majorBidi" w:hAnsiTheme="majorBidi" w:cstheme="majorBidi"/>
          <w:sz w:val="24"/>
          <w:szCs w:val="24"/>
        </w:rPr>
      </w:pPr>
    </w:p>
    <w:p w14:paraId="19D77F40"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Stagner, M. W., &amp; Lansing, J. (2009). Progress toward a prevention perspective. </w:t>
      </w:r>
      <w:r w:rsidRPr="00E51FA9">
        <w:rPr>
          <w:rFonts w:asciiTheme="majorBidi" w:hAnsiTheme="majorBidi" w:cstheme="majorBidi"/>
          <w:i/>
          <w:iCs/>
          <w:sz w:val="24"/>
          <w:szCs w:val="24"/>
        </w:rPr>
        <w:t>The Future of Children, 19</w:t>
      </w:r>
      <w:r w:rsidRPr="00FD6865">
        <w:rPr>
          <w:rFonts w:asciiTheme="majorBidi" w:hAnsiTheme="majorBidi" w:cstheme="majorBidi"/>
          <w:iCs/>
          <w:sz w:val="24"/>
          <w:szCs w:val="24"/>
        </w:rPr>
        <w:t>(2),</w:t>
      </w:r>
      <w:r w:rsidRPr="00E51FA9">
        <w:rPr>
          <w:rFonts w:asciiTheme="majorBidi" w:hAnsiTheme="majorBidi" w:cstheme="majorBidi"/>
          <w:sz w:val="24"/>
          <w:szCs w:val="24"/>
        </w:rPr>
        <w:t xml:space="preserve"> 19-38.</w:t>
      </w:r>
    </w:p>
    <w:p w14:paraId="7B397092"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65A08553"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 xml:space="preserve">Strand, M., </w:t>
      </w:r>
      <w:proofErr w:type="spellStart"/>
      <w:r w:rsidRPr="00E51FA9">
        <w:rPr>
          <w:rFonts w:asciiTheme="majorBidi" w:hAnsiTheme="majorBidi" w:cstheme="majorBidi"/>
          <w:sz w:val="24"/>
          <w:szCs w:val="24"/>
        </w:rPr>
        <w:t>Benzein</w:t>
      </w:r>
      <w:proofErr w:type="spellEnd"/>
      <w:r w:rsidRPr="00E51FA9">
        <w:rPr>
          <w:rFonts w:asciiTheme="majorBidi" w:hAnsiTheme="majorBidi" w:cstheme="majorBidi"/>
          <w:sz w:val="24"/>
          <w:szCs w:val="24"/>
        </w:rPr>
        <w:t xml:space="preserve">, E., &amp; </w:t>
      </w:r>
      <w:proofErr w:type="spellStart"/>
      <w:r w:rsidRPr="00E51FA9">
        <w:rPr>
          <w:rFonts w:asciiTheme="majorBidi" w:hAnsiTheme="majorBidi" w:cstheme="majorBidi"/>
          <w:sz w:val="24"/>
          <w:szCs w:val="24"/>
        </w:rPr>
        <w:t>Saveman</w:t>
      </w:r>
      <w:proofErr w:type="spellEnd"/>
      <w:r w:rsidRPr="00E51FA9">
        <w:rPr>
          <w:rFonts w:asciiTheme="majorBidi" w:hAnsiTheme="majorBidi" w:cstheme="majorBidi"/>
          <w:sz w:val="24"/>
          <w:szCs w:val="24"/>
        </w:rPr>
        <w:t xml:space="preserve">, B. I. (2004). Violence in the care of adult persons with intellectual disabilities. </w:t>
      </w:r>
      <w:r w:rsidRPr="00E51FA9">
        <w:rPr>
          <w:rFonts w:asciiTheme="majorBidi" w:hAnsiTheme="majorBidi" w:cstheme="majorBidi"/>
          <w:i/>
          <w:iCs/>
          <w:sz w:val="24"/>
          <w:szCs w:val="24"/>
        </w:rPr>
        <w:t>Journal of Clinical Nursing, 13</w:t>
      </w:r>
      <w:r w:rsidRPr="00FD6865">
        <w:rPr>
          <w:rFonts w:asciiTheme="majorBidi" w:hAnsiTheme="majorBidi" w:cstheme="majorBidi"/>
          <w:iCs/>
          <w:sz w:val="24"/>
          <w:szCs w:val="24"/>
        </w:rPr>
        <w:t>(4),</w:t>
      </w:r>
      <w:r w:rsidRPr="00E51FA9">
        <w:rPr>
          <w:rFonts w:asciiTheme="majorBidi" w:hAnsiTheme="majorBidi" w:cstheme="majorBidi"/>
          <w:sz w:val="24"/>
          <w:szCs w:val="24"/>
        </w:rPr>
        <w:t xml:space="preserve"> 506-514.</w:t>
      </w:r>
    </w:p>
    <w:p w14:paraId="5A27BDC2" w14:textId="77777777" w:rsidR="00A44B87" w:rsidRPr="00E51FA9" w:rsidRDefault="00A44B87" w:rsidP="00B10D81">
      <w:pPr>
        <w:spacing w:after="60"/>
        <w:rPr>
          <w:rFonts w:asciiTheme="majorBidi" w:hAnsiTheme="majorBidi" w:cstheme="majorBidi"/>
          <w:sz w:val="24"/>
          <w:szCs w:val="24"/>
        </w:rPr>
      </w:pPr>
    </w:p>
    <w:p w14:paraId="41A797F0"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Sundram, C. J. (1985). Strategies to prevent patient abuse in public institutions. </w:t>
      </w:r>
      <w:r w:rsidRPr="00E51FA9">
        <w:rPr>
          <w:rFonts w:asciiTheme="majorBidi" w:hAnsiTheme="majorBidi" w:cstheme="majorBidi"/>
          <w:i/>
          <w:iCs/>
          <w:sz w:val="24"/>
          <w:szCs w:val="24"/>
        </w:rPr>
        <w:t>New England journal of human services, 6(2),</w:t>
      </w:r>
      <w:r w:rsidRPr="00E51FA9">
        <w:rPr>
          <w:rFonts w:asciiTheme="majorBidi" w:hAnsiTheme="majorBidi" w:cstheme="majorBidi"/>
          <w:sz w:val="24"/>
          <w:szCs w:val="24"/>
        </w:rPr>
        <w:t xml:space="preserve"> 20-25.</w:t>
      </w:r>
    </w:p>
    <w:p w14:paraId="557CB192" w14:textId="77777777" w:rsidR="00A44B87" w:rsidRPr="00E51FA9" w:rsidRDefault="00A44B87" w:rsidP="00B10D81">
      <w:pPr>
        <w:spacing w:after="60"/>
        <w:rPr>
          <w:rFonts w:asciiTheme="majorBidi" w:hAnsiTheme="majorBidi" w:cstheme="majorBidi"/>
          <w:sz w:val="24"/>
          <w:szCs w:val="24"/>
        </w:rPr>
      </w:pPr>
    </w:p>
    <w:p w14:paraId="2BB510A5" w14:textId="7941752C"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lastRenderedPageBreak/>
        <w:t xml:space="preserve">Swedlund N. P., </w:t>
      </w:r>
      <w:r w:rsidR="00713445">
        <w:rPr>
          <w:rFonts w:asciiTheme="majorBidi" w:hAnsiTheme="majorBidi" w:cstheme="majorBidi"/>
          <w:sz w:val="24"/>
          <w:szCs w:val="24"/>
        </w:rPr>
        <w:t xml:space="preserve">&amp; </w:t>
      </w:r>
      <w:r w:rsidRPr="00E51FA9">
        <w:rPr>
          <w:rFonts w:asciiTheme="majorBidi" w:hAnsiTheme="majorBidi" w:cstheme="majorBidi"/>
          <w:sz w:val="24"/>
          <w:szCs w:val="24"/>
        </w:rPr>
        <w:t xml:space="preserve">Nosek M. A. (2000). An exploratory study on the work of independent living </w:t>
      </w:r>
      <w:proofErr w:type="spellStart"/>
      <w:r w:rsidRPr="00E51FA9">
        <w:rPr>
          <w:rFonts w:asciiTheme="majorBidi" w:hAnsiTheme="majorBidi" w:cstheme="majorBidi"/>
          <w:sz w:val="24"/>
          <w:szCs w:val="24"/>
        </w:rPr>
        <w:t>centers</w:t>
      </w:r>
      <w:proofErr w:type="spellEnd"/>
      <w:r w:rsidRPr="00E51FA9">
        <w:rPr>
          <w:rFonts w:asciiTheme="majorBidi" w:hAnsiTheme="majorBidi" w:cstheme="majorBidi"/>
          <w:sz w:val="24"/>
          <w:szCs w:val="24"/>
        </w:rPr>
        <w:t xml:space="preserve"> to address abuse of women with disabilities. </w:t>
      </w:r>
      <w:r w:rsidRPr="00E51FA9">
        <w:rPr>
          <w:rFonts w:asciiTheme="majorBidi" w:hAnsiTheme="majorBidi" w:cstheme="majorBidi"/>
          <w:i/>
          <w:iCs/>
          <w:sz w:val="24"/>
          <w:szCs w:val="24"/>
        </w:rPr>
        <w:t>Journal of Rehabilitation, 66</w:t>
      </w:r>
      <w:r w:rsidRPr="00E51FA9">
        <w:rPr>
          <w:rFonts w:asciiTheme="majorBidi" w:hAnsiTheme="majorBidi" w:cstheme="majorBidi"/>
          <w:sz w:val="24"/>
          <w:szCs w:val="24"/>
        </w:rPr>
        <w:t>, 57–64.</w:t>
      </w:r>
    </w:p>
    <w:p w14:paraId="5C4C6547" w14:textId="77777777" w:rsidR="00A44B87" w:rsidRPr="00E51FA9" w:rsidRDefault="00A44B87" w:rsidP="00B10D81">
      <w:pPr>
        <w:spacing w:after="60"/>
        <w:rPr>
          <w:rFonts w:asciiTheme="majorBidi" w:hAnsiTheme="majorBidi" w:cstheme="majorBidi"/>
          <w:i/>
          <w:iCs/>
          <w:sz w:val="24"/>
          <w:szCs w:val="24"/>
          <w:lang w:eastAsia="en-AU" w:bidi="he-IL"/>
        </w:rPr>
      </w:pPr>
    </w:p>
    <w:p w14:paraId="6D5E9D75" w14:textId="2976AF99" w:rsidR="00AC4347" w:rsidRPr="00AC4347" w:rsidRDefault="00AC4347" w:rsidP="00AC4347">
      <w:pPr>
        <w:spacing w:after="160" w:line="233" w:lineRule="atLeast"/>
        <w:rPr>
          <w:rFonts w:ascii="Calibri" w:eastAsiaTheme="minorHAnsi" w:hAnsi="Calibri"/>
          <w:color w:val="000000"/>
          <w:sz w:val="22"/>
          <w:szCs w:val="22"/>
          <w:lang w:val="en-US"/>
        </w:rPr>
      </w:pPr>
      <w:proofErr w:type="spellStart"/>
      <w:r w:rsidRPr="00AC4347">
        <w:rPr>
          <w:rFonts w:eastAsiaTheme="minorHAnsi"/>
          <w:color w:val="222222"/>
          <w:sz w:val="24"/>
          <w:szCs w:val="24"/>
          <w:shd w:val="clear" w:color="auto" w:fill="FFFFFF"/>
          <w:lang w:val="en-US"/>
        </w:rPr>
        <w:t>Teaster</w:t>
      </w:r>
      <w:proofErr w:type="spellEnd"/>
      <w:r w:rsidRPr="00AC4347">
        <w:rPr>
          <w:rFonts w:eastAsiaTheme="minorHAnsi"/>
          <w:color w:val="222222"/>
          <w:sz w:val="24"/>
          <w:szCs w:val="24"/>
          <w:shd w:val="clear" w:color="auto" w:fill="FFFFFF"/>
          <w:lang w:val="en-US"/>
        </w:rPr>
        <w:t>, P. B., Ramsey-</w:t>
      </w:r>
      <w:proofErr w:type="spellStart"/>
      <w:r w:rsidRPr="00AC4347">
        <w:rPr>
          <w:rFonts w:eastAsiaTheme="minorHAnsi"/>
          <w:color w:val="222222"/>
          <w:sz w:val="24"/>
          <w:szCs w:val="24"/>
          <w:shd w:val="clear" w:color="auto" w:fill="FFFFFF"/>
          <w:lang w:val="en-US"/>
        </w:rPr>
        <w:t>Klawsnik</w:t>
      </w:r>
      <w:proofErr w:type="spellEnd"/>
      <w:r w:rsidRPr="00AC4347">
        <w:rPr>
          <w:rFonts w:eastAsiaTheme="minorHAnsi"/>
          <w:color w:val="222222"/>
          <w:sz w:val="24"/>
          <w:szCs w:val="24"/>
          <w:shd w:val="clear" w:color="auto" w:fill="FFFFFF"/>
          <w:lang w:val="en-US"/>
        </w:rPr>
        <w:t xml:space="preserve">, H., </w:t>
      </w:r>
      <w:proofErr w:type="spellStart"/>
      <w:r w:rsidRPr="00AC4347">
        <w:rPr>
          <w:rFonts w:eastAsiaTheme="minorHAnsi"/>
          <w:color w:val="222222"/>
          <w:sz w:val="24"/>
          <w:szCs w:val="24"/>
          <w:shd w:val="clear" w:color="auto" w:fill="FFFFFF"/>
          <w:lang w:val="en-US"/>
        </w:rPr>
        <w:t>Mendiondo</w:t>
      </w:r>
      <w:proofErr w:type="spellEnd"/>
      <w:r w:rsidRPr="00AC4347">
        <w:rPr>
          <w:rFonts w:eastAsiaTheme="minorHAnsi"/>
          <w:color w:val="222222"/>
          <w:sz w:val="24"/>
          <w:szCs w:val="24"/>
          <w:shd w:val="clear" w:color="auto" w:fill="FFFFFF"/>
          <w:lang w:val="en-US"/>
        </w:rPr>
        <w:t xml:space="preserve">, M. S., Abner, E., Cecil, K., &amp; </w:t>
      </w:r>
      <w:proofErr w:type="spellStart"/>
      <w:r w:rsidRPr="00AC4347">
        <w:rPr>
          <w:rFonts w:eastAsiaTheme="minorHAnsi"/>
          <w:color w:val="222222"/>
          <w:sz w:val="24"/>
          <w:szCs w:val="24"/>
          <w:shd w:val="clear" w:color="auto" w:fill="FFFFFF"/>
          <w:lang w:val="en-US"/>
        </w:rPr>
        <w:t>Tooms</w:t>
      </w:r>
      <w:proofErr w:type="spellEnd"/>
      <w:r w:rsidRPr="00AC4347">
        <w:rPr>
          <w:rFonts w:eastAsiaTheme="minorHAnsi"/>
          <w:color w:val="222222"/>
          <w:sz w:val="24"/>
          <w:szCs w:val="24"/>
          <w:shd w:val="clear" w:color="auto" w:fill="FFFFFF"/>
          <w:lang w:val="en-US"/>
        </w:rPr>
        <w:t xml:space="preserve">, M. (2007). From behind the shadows: A profile of the sexual abuse of older men residing in nursing homes. </w:t>
      </w:r>
      <w:r w:rsidRPr="00AC4347">
        <w:rPr>
          <w:rFonts w:eastAsiaTheme="minorHAnsi"/>
          <w:i/>
          <w:color w:val="222222"/>
          <w:sz w:val="24"/>
          <w:szCs w:val="24"/>
          <w:shd w:val="clear" w:color="auto" w:fill="FFFFFF"/>
          <w:lang w:val="en-US"/>
        </w:rPr>
        <w:t>Journal of Elder Abuse &amp; Neglect</w:t>
      </w:r>
      <w:r w:rsidRPr="00AC4347">
        <w:rPr>
          <w:rFonts w:eastAsiaTheme="minorHAnsi"/>
          <w:color w:val="222222"/>
          <w:sz w:val="24"/>
          <w:szCs w:val="24"/>
          <w:shd w:val="clear" w:color="auto" w:fill="FFFFFF"/>
          <w:lang w:val="en-US"/>
        </w:rPr>
        <w:t>, 19(1-2), 29-45.</w:t>
      </w:r>
    </w:p>
    <w:p w14:paraId="61CB881D" w14:textId="77777777" w:rsidR="00AC4347" w:rsidRDefault="00AC4347" w:rsidP="00B10D81">
      <w:pPr>
        <w:spacing w:after="60"/>
        <w:rPr>
          <w:rFonts w:asciiTheme="majorBidi" w:hAnsiTheme="majorBidi" w:cstheme="majorBidi"/>
          <w:sz w:val="24"/>
          <w:szCs w:val="24"/>
          <w:lang w:eastAsia="en-AU" w:bidi="he-IL"/>
        </w:rPr>
      </w:pPr>
    </w:p>
    <w:p w14:paraId="79D63EBD" w14:textId="77777777" w:rsidR="00A44B87" w:rsidRPr="00E51FA9" w:rsidRDefault="00A44B87" w:rsidP="00B10D81">
      <w:pPr>
        <w:spacing w:after="60"/>
        <w:rPr>
          <w:rFonts w:asciiTheme="majorBidi" w:hAnsiTheme="majorBidi" w:cstheme="majorBidi"/>
          <w:i/>
          <w:iCs/>
          <w:sz w:val="24"/>
          <w:szCs w:val="24"/>
          <w:lang w:eastAsia="en-AU" w:bidi="he-IL"/>
        </w:rPr>
      </w:pPr>
      <w:r w:rsidRPr="00E51FA9">
        <w:rPr>
          <w:rFonts w:asciiTheme="majorBidi" w:hAnsiTheme="majorBidi" w:cstheme="majorBidi"/>
          <w:sz w:val="24"/>
          <w:szCs w:val="24"/>
          <w:lang w:eastAsia="en-AU" w:bidi="he-IL"/>
        </w:rPr>
        <w:t>Terry, M. S. (2014). Applying the social ecological model to violence against women with disabilities</w:t>
      </w:r>
      <w:r w:rsidRPr="00E51FA9">
        <w:rPr>
          <w:rFonts w:asciiTheme="majorBidi" w:hAnsiTheme="majorBidi" w:cstheme="majorBidi"/>
          <w:i/>
          <w:iCs/>
          <w:sz w:val="24"/>
          <w:szCs w:val="24"/>
          <w:lang w:eastAsia="en-AU" w:bidi="he-IL"/>
        </w:rPr>
        <w:t xml:space="preserve">. Journal of </w:t>
      </w:r>
      <w:proofErr w:type="spellStart"/>
      <w:r w:rsidRPr="00E51FA9">
        <w:rPr>
          <w:rFonts w:asciiTheme="majorBidi" w:hAnsiTheme="majorBidi" w:cstheme="majorBidi"/>
          <w:i/>
          <w:iCs/>
          <w:sz w:val="24"/>
          <w:szCs w:val="24"/>
          <w:lang w:eastAsia="en-AU" w:bidi="he-IL"/>
        </w:rPr>
        <w:t>Womens</w:t>
      </w:r>
      <w:proofErr w:type="spellEnd"/>
      <w:r w:rsidRPr="00E51FA9">
        <w:rPr>
          <w:rFonts w:asciiTheme="majorBidi" w:hAnsiTheme="majorBidi" w:cstheme="majorBidi"/>
          <w:i/>
          <w:iCs/>
          <w:sz w:val="24"/>
          <w:szCs w:val="24"/>
          <w:lang w:eastAsia="en-AU" w:bidi="he-IL"/>
        </w:rPr>
        <w:t xml:space="preserve"> Health Care, 2167-0420.</w:t>
      </w:r>
    </w:p>
    <w:p w14:paraId="431DD192" w14:textId="77777777" w:rsidR="005B3587" w:rsidRDefault="005B3587" w:rsidP="00B10D81">
      <w:pPr>
        <w:spacing w:after="60"/>
        <w:rPr>
          <w:rFonts w:asciiTheme="majorBidi" w:hAnsiTheme="majorBidi" w:cstheme="majorBidi"/>
          <w:sz w:val="24"/>
          <w:szCs w:val="24"/>
        </w:rPr>
      </w:pPr>
    </w:p>
    <w:p w14:paraId="316DB2A3" w14:textId="037ABE2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Thomas K. A., Joshi M., Wittenberg E., </w:t>
      </w:r>
      <w:r w:rsidR="000D1CD0">
        <w:rPr>
          <w:rFonts w:asciiTheme="majorBidi" w:hAnsiTheme="majorBidi" w:cstheme="majorBidi"/>
          <w:sz w:val="24"/>
          <w:szCs w:val="24"/>
        </w:rPr>
        <w:t xml:space="preserve">&amp; </w:t>
      </w:r>
      <w:r w:rsidRPr="00E51FA9">
        <w:rPr>
          <w:rFonts w:asciiTheme="majorBidi" w:hAnsiTheme="majorBidi" w:cstheme="majorBidi"/>
          <w:sz w:val="24"/>
          <w:szCs w:val="24"/>
        </w:rPr>
        <w:t xml:space="preserve">McCloskey L. A. (2008). Intersections of harm and health: A qualitative study of intimate partner violence in women’s lives. </w:t>
      </w:r>
      <w:r w:rsidRPr="00E51FA9">
        <w:rPr>
          <w:rFonts w:asciiTheme="majorBidi" w:hAnsiTheme="majorBidi" w:cstheme="majorBidi"/>
          <w:i/>
          <w:iCs/>
          <w:sz w:val="24"/>
          <w:szCs w:val="24"/>
        </w:rPr>
        <w:t>Violence Against Women, 14</w:t>
      </w:r>
      <w:r w:rsidRPr="00E51FA9">
        <w:rPr>
          <w:rFonts w:asciiTheme="majorBidi" w:hAnsiTheme="majorBidi" w:cstheme="majorBidi"/>
          <w:sz w:val="24"/>
          <w:szCs w:val="24"/>
        </w:rPr>
        <w:t>, 1252–1273</w:t>
      </w:r>
    </w:p>
    <w:p w14:paraId="586AF03A" w14:textId="77777777" w:rsidR="00A44B87" w:rsidRPr="00E51FA9" w:rsidRDefault="00A44B87" w:rsidP="00B10D81">
      <w:pPr>
        <w:spacing w:after="60"/>
        <w:rPr>
          <w:rFonts w:asciiTheme="majorBidi" w:hAnsiTheme="majorBidi" w:cstheme="majorBidi"/>
          <w:sz w:val="24"/>
          <w:szCs w:val="24"/>
        </w:rPr>
      </w:pPr>
    </w:p>
    <w:p w14:paraId="198ED92F" w14:textId="29CEAFF4"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Ticoll, M. (1994)</w:t>
      </w:r>
      <w:r w:rsidR="000D1CD0">
        <w:rPr>
          <w:rFonts w:asciiTheme="majorBidi" w:hAnsiTheme="majorBidi" w:cstheme="majorBidi"/>
          <w:sz w:val="24"/>
          <w:szCs w:val="24"/>
        </w:rPr>
        <w:t>.</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Violence and People with Disabilities: A Review of the Literature</w:t>
      </w:r>
      <w:r w:rsidRPr="00E51FA9">
        <w:rPr>
          <w:rFonts w:asciiTheme="majorBidi" w:hAnsiTheme="majorBidi" w:cstheme="majorBidi"/>
          <w:sz w:val="24"/>
          <w:szCs w:val="24"/>
        </w:rPr>
        <w:t>. Ontario, Canada</w:t>
      </w:r>
      <w:r w:rsidR="000D1CD0">
        <w:rPr>
          <w:rFonts w:asciiTheme="majorBidi" w:hAnsiTheme="majorBidi" w:cstheme="majorBidi"/>
          <w:sz w:val="24"/>
          <w:szCs w:val="24"/>
        </w:rPr>
        <w:t>:</w:t>
      </w:r>
      <w:r w:rsidRPr="00E51FA9">
        <w:rPr>
          <w:rFonts w:asciiTheme="majorBidi" w:hAnsiTheme="majorBidi" w:cstheme="majorBidi"/>
          <w:sz w:val="24"/>
          <w:szCs w:val="24"/>
        </w:rPr>
        <w:t xml:space="preserve"> </w:t>
      </w:r>
      <w:proofErr w:type="spellStart"/>
      <w:r w:rsidRPr="00E51FA9">
        <w:rPr>
          <w:rFonts w:asciiTheme="majorBidi" w:hAnsiTheme="majorBidi" w:cstheme="majorBidi"/>
          <w:sz w:val="24"/>
          <w:szCs w:val="24"/>
        </w:rPr>
        <w:t>Roeher</w:t>
      </w:r>
      <w:proofErr w:type="spellEnd"/>
      <w:r w:rsidRPr="00E51FA9">
        <w:rPr>
          <w:rFonts w:asciiTheme="majorBidi" w:hAnsiTheme="majorBidi" w:cstheme="majorBidi"/>
          <w:sz w:val="24"/>
          <w:szCs w:val="24"/>
        </w:rPr>
        <w:t xml:space="preserve"> Institute</w:t>
      </w:r>
      <w:r w:rsidR="008A392C">
        <w:rPr>
          <w:rFonts w:asciiTheme="majorBidi" w:hAnsiTheme="majorBidi" w:cstheme="majorBidi"/>
          <w:sz w:val="24"/>
          <w:szCs w:val="24"/>
        </w:rPr>
        <w:t>.</w:t>
      </w:r>
    </w:p>
    <w:p w14:paraId="182E9A12" w14:textId="77777777" w:rsidR="00A44B87" w:rsidRPr="00E51FA9" w:rsidRDefault="00A44B87" w:rsidP="00B10D81">
      <w:pPr>
        <w:spacing w:after="60"/>
        <w:rPr>
          <w:rFonts w:asciiTheme="majorBidi" w:hAnsiTheme="majorBidi" w:cstheme="majorBidi"/>
          <w:sz w:val="24"/>
          <w:szCs w:val="24"/>
        </w:rPr>
      </w:pPr>
    </w:p>
    <w:p w14:paraId="4ED96EA4" w14:textId="2CC48D39" w:rsidR="00A44B87" w:rsidRPr="00E51FA9" w:rsidRDefault="00A44B87" w:rsidP="00B10D81">
      <w:pPr>
        <w:spacing w:after="60"/>
        <w:rPr>
          <w:rFonts w:asciiTheme="majorBidi" w:hAnsiTheme="majorBidi" w:cstheme="majorBidi"/>
          <w:sz w:val="24"/>
          <w:szCs w:val="24"/>
        </w:rPr>
      </w:pPr>
      <w:proofErr w:type="spellStart"/>
      <w:r w:rsidRPr="00E51FA9">
        <w:rPr>
          <w:rFonts w:asciiTheme="majorBidi" w:hAnsiTheme="majorBidi" w:cstheme="majorBidi"/>
          <w:sz w:val="24"/>
          <w:szCs w:val="24"/>
        </w:rPr>
        <w:t>Tomison</w:t>
      </w:r>
      <w:proofErr w:type="spellEnd"/>
      <w:r w:rsidRPr="00E51FA9">
        <w:rPr>
          <w:rFonts w:asciiTheme="majorBidi" w:hAnsiTheme="majorBidi" w:cstheme="majorBidi"/>
          <w:sz w:val="24"/>
          <w:szCs w:val="24"/>
        </w:rPr>
        <w:t xml:space="preserve">, A. M. (2000). </w:t>
      </w:r>
      <w:r w:rsidRPr="00E51FA9">
        <w:rPr>
          <w:rFonts w:asciiTheme="majorBidi" w:hAnsiTheme="majorBidi" w:cstheme="majorBidi"/>
          <w:i/>
          <w:iCs/>
          <w:sz w:val="24"/>
          <w:szCs w:val="24"/>
        </w:rPr>
        <w:t xml:space="preserve">Exploring family violence: </w:t>
      </w:r>
      <w:r w:rsidR="000D1CD0">
        <w:rPr>
          <w:rFonts w:asciiTheme="majorBidi" w:hAnsiTheme="majorBidi" w:cstheme="majorBidi"/>
          <w:i/>
          <w:iCs/>
          <w:sz w:val="24"/>
          <w:szCs w:val="24"/>
        </w:rPr>
        <w:t>L</w:t>
      </w:r>
      <w:r w:rsidRPr="00E51FA9">
        <w:rPr>
          <w:rFonts w:asciiTheme="majorBidi" w:hAnsiTheme="majorBidi" w:cstheme="majorBidi"/>
          <w:i/>
          <w:iCs/>
          <w:sz w:val="24"/>
          <w:szCs w:val="24"/>
        </w:rPr>
        <w:t>inks between child maltreatment and domestic violence</w:t>
      </w:r>
      <w:r w:rsidRPr="00E51FA9">
        <w:rPr>
          <w:rFonts w:asciiTheme="majorBidi" w:hAnsiTheme="majorBidi" w:cstheme="majorBidi"/>
          <w:sz w:val="24"/>
          <w:szCs w:val="24"/>
        </w:rPr>
        <w:t xml:space="preserve">. </w:t>
      </w:r>
      <w:r w:rsidR="000D1CD0">
        <w:rPr>
          <w:rFonts w:asciiTheme="majorBidi" w:hAnsiTheme="majorBidi" w:cstheme="majorBidi"/>
          <w:sz w:val="24"/>
          <w:szCs w:val="24"/>
        </w:rPr>
        <w:t xml:space="preserve">Melbourne, Australia: </w:t>
      </w:r>
      <w:r w:rsidRPr="00E51FA9">
        <w:rPr>
          <w:rFonts w:asciiTheme="majorBidi" w:hAnsiTheme="majorBidi" w:cstheme="majorBidi"/>
          <w:sz w:val="24"/>
          <w:szCs w:val="24"/>
        </w:rPr>
        <w:t>Australian Institute of Family Studies.</w:t>
      </w:r>
    </w:p>
    <w:p w14:paraId="06767C13" w14:textId="77777777"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p>
    <w:p w14:paraId="0A828700" w14:textId="2D876B2A" w:rsidR="00A44B87" w:rsidRPr="00E51FA9" w:rsidRDefault="00A44B87" w:rsidP="00B10D81">
      <w:pPr>
        <w:widowControl w:val="0"/>
        <w:autoSpaceDE w:val="0"/>
        <w:autoSpaceDN w:val="0"/>
        <w:adjustRightInd w:val="0"/>
        <w:spacing w:after="60"/>
        <w:rPr>
          <w:rFonts w:asciiTheme="majorBidi" w:hAnsiTheme="majorBidi" w:cstheme="majorBidi"/>
          <w:sz w:val="24"/>
          <w:szCs w:val="24"/>
        </w:rPr>
      </w:pPr>
      <w:r w:rsidRPr="00E51FA9">
        <w:rPr>
          <w:rFonts w:asciiTheme="majorBidi" w:hAnsiTheme="majorBidi" w:cstheme="majorBidi"/>
          <w:sz w:val="24"/>
          <w:szCs w:val="24"/>
        </w:rPr>
        <w:t xml:space="preserve">Turk, V., &amp; Brown, H. (1993). The sexual abuse of adults with learning </w:t>
      </w:r>
      <w:r w:rsidR="00861FCE" w:rsidRPr="00E51FA9">
        <w:rPr>
          <w:rFonts w:asciiTheme="majorBidi" w:hAnsiTheme="majorBidi" w:cstheme="majorBidi"/>
          <w:sz w:val="24"/>
          <w:szCs w:val="24"/>
        </w:rPr>
        <w:t>disabilities</w:t>
      </w:r>
      <w:r w:rsidRPr="00E51FA9">
        <w:rPr>
          <w:rFonts w:asciiTheme="majorBidi" w:hAnsiTheme="majorBidi" w:cstheme="majorBidi"/>
          <w:sz w:val="24"/>
          <w:szCs w:val="24"/>
        </w:rPr>
        <w:t xml:space="preserve">: </w:t>
      </w:r>
      <w:r w:rsidR="000D1CD0">
        <w:rPr>
          <w:rFonts w:asciiTheme="majorBidi" w:hAnsiTheme="majorBidi" w:cstheme="majorBidi"/>
          <w:sz w:val="24"/>
          <w:szCs w:val="24"/>
        </w:rPr>
        <w:t>R</w:t>
      </w:r>
      <w:r w:rsidRPr="00E51FA9">
        <w:rPr>
          <w:rFonts w:asciiTheme="majorBidi" w:hAnsiTheme="majorBidi" w:cstheme="majorBidi"/>
          <w:sz w:val="24"/>
          <w:szCs w:val="24"/>
        </w:rPr>
        <w:t xml:space="preserve">esults of a two year incidence survey. </w:t>
      </w:r>
      <w:r w:rsidRPr="00E51FA9">
        <w:rPr>
          <w:rFonts w:asciiTheme="majorBidi" w:hAnsiTheme="majorBidi" w:cstheme="majorBidi"/>
          <w:i/>
          <w:iCs/>
          <w:sz w:val="24"/>
          <w:szCs w:val="24"/>
        </w:rPr>
        <w:t>Journal of Applied Research in Intellectual Disabilities, 6(3</w:t>
      </w:r>
      <w:r w:rsidRPr="00E51FA9">
        <w:rPr>
          <w:rFonts w:asciiTheme="majorBidi" w:hAnsiTheme="majorBidi" w:cstheme="majorBidi"/>
          <w:sz w:val="24"/>
          <w:szCs w:val="24"/>
        </w:rPr>
        <w:t>), 193-216.</w:t>
      </w:r>
    </w:p>
    <w:p w14:paraId="4C81B0EA" w14:textId="77777777" w:rsidR="00A44B87" w:rsidRPr="00E51FA9" w:rsidRDefault="00A44B87" w:rsidP="00B10D81">
      <w:pPr>
        <w:spacing w:after="60"/>
        <w:rPr>
          <w:rFonts w:asciiTheme="majorBidi" w:hAnsiTheme="majorBidi" w:cstheme="majorBidi"/>
          <w:sz w:val="24"/>
          <w:szCs w:val="24"/>
        </w:rPr>
      </w:pPr>
    </w:p>
    <w:p w14:paraId="4E6BD9E2" w14:textId="3D45E296" w:rsidR="00861FCE" w:rsidRPr="00460210"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U</w:t>
      </w:r>
      <w:r w:rsidR="003B3925">
        <w:rPr>
          <w:rFonts w:asciiTheme="majorBidi" w:hAnsiTheme="majorBidi" w:cstheme="majorBidi"/>
          <w:sz w:val="24"/>
          <w:szCs w:val="24"/>
        </w:rPr>
        <w:t xml:space="preserve">nited </w:t>
      </w:r>
      <w:r w:rsidRPr="00E51FA9">
        <w:rPr>
          <w:rFonts w:asciiTheme="majorBidi" w:hAnsiTheme="majorBidi" w:cstheme="majorBidi"/>
          <w:sz w:val="24"/>
          <w:szCs w:val="24"/>
        </w:rPr>
        <w:t>N</w:t>
      </w:r>
      <w:r w:rsidR="003B3925">
        <w:rPr>
          <w:rFonts w:asciiTheme="majorBidi" w:hAnsiTheme="majorBidi" w:cstheme="majorBidi"/>
          <w:sz w:val="24"/>
          <w:szCs w:val="24"/>
        </w:rPr>
        <w:t>ations. (2006).</w:t>
      </w:r>
      <w:r w:rsidRPr="00E51FA9">
        <w:rPr>
          <w:rFonts w:asciiTheme="majorBidi" w:hAnsiTheme="majorBidi" w:cstheme="majorBidi"/>
          <w:sz w:val="24"/>
          <w:szCs w:val="24"/>
        </w:rPr>
        <w:t xml:space="preserve"> </w:t>
      </w:r>
      <w:r w:rsidRPr="00482E3E">
        <w:rPr>
          <w:rFonts w:asciiTheme="majorBidi" w:hAnsiTheme="majorBidi" w:cstheme="majorBidi"/>
          <w:i/>
          <w:sz w:val="24"/>
          <w:szCs w:val="24"/>
        </w:rPr>
        <w:t>Convention on the Rights of Persons with Disabilities</w:t>
      </w:r>
      <w:r w:rsidR="003B3925">
        <w:rPr>
          <w:rFonts w:asciiTheme="majorBidi" w:hAnsiTheme="majorBidi" w:cstheme="majorBidi"/>
          <w:sz w:val="24"/>
          <w:szCs w:val="24"/>
        </w:rPr>
        <w:t>.</w:t>
      </w:r>
      <w:r w:rsidRPr="00E51FA9">
        <w:rPr>
          <w:rFonts w:asciiTheme="majorBidi" w:hAnsiTheme="majorBidi" w:cstheme="majorBidi"/>
          <w:sz w:val="24"/>
          <w:szCs w:val="24"/>
        </w:rPr>
        <w:t xml:space="preserve"> </w:t>
      </w:r>
      <w:r w:rsidR="00861FCE">
        <w:rPr>
          <w:rFonts w:asciiTheme="majorBidi" w:hAnsiTheme="majorBidi" w:cstheme="majorBidi"/>
          <w:sz w:val="24"/>
          <w:szCs w:val="24"/>
        </w:rPr>
        <w:t>Retrieved</w:t>
      </w:r>
      <w:r w:rsidR="003B3925">
        <w:rPr>
          <w:rFonts w:asciiTheme="majorBidi" w:hAnsiTheme="majorBidi" w:cstheme="majorBidi"/>
          <w:sz w:val="24"/>
          <w:szCs w:val="24"/>
        </w:rPr>
        <w:t xml:space="preserve"> from </w:t>
      </w:r>
      <w:hyperlink r:id="rId37" w:history="1">
        <w:r w:rsidR="00482E3E" w:rsidRPr="00C64B1F">
          <w:rPr>
            <w:rStyle w:val="Hyperlink"/>
            <w:rFonts w:asciiTheme="majorBidi" w:hAnsiTheme="majorBidi" w:cstheme="majorBidi"/>
            <w:color w:val="auto"/>
            <w:sz w:val="24"/>
            <w:szCs w:val="24"/>
            <w:u w:val="none"/>
          </w:rPr>
          <w:t>http://www.refworld.org/docid/45f973632.html</w:t>
        </w:r>
      </w:hyperlink>
      <w:r w:rsidR="00482E3E" w:rsidRPr="00460210">
        <w:rPr>
          <w:rFonts w:asciiTheme="majorBidi" w:hAnsiTheme="majorBidi" w:cstheme="majorBidi"/>
          <w:sz w:val="24"/>
          <w:szCs w:val="24"/>
        </w:rPr>
        <w:t xml:space="preserve"> </w:t>
      </w:r>
      <w:r w:rsidRPr="00460210">
        <w:rPr>
          <w:rFonts w:asciiTheme="majorBidi" w:hAnsiTheme="majorBidi" w:cstheme="majorBidi"/>
          <w:sz w:val="24"/>
          <w:szCs w:val="24"/>
        </w:rPr>
        <w:t xml:space="preserve"> </w:t>
      </w:r>
    </w:p>
    <w:p w14:paraId="05637223" w14:textId="77777777" w:rsidR="00861FCE" w:rsidRPr="00460210" w:rsidRDefault="00861FCE" w:rsidP="00B10D81">
      <w:pPr>
        <w:spacing w:after="60"/>
        <w:rPr>
          <w:rFonts w:asciiTheme="majorBidi" w:hAnsiTheme="majorBidi" w:cstheme="majorBidi"/>
          <w:sz w:val="24"/>
          <w:szCs w:val="24"/>
        </w:rPr>
      </w:pPr>
    </w:p>
    <w:p w14:paraId="131E8F49" w14:textId="30922270" w:rsidR="00A44B87" w:rsidRPr="00460210"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Victorian Ombudsman</w:t>
      </w:r>
      <w:r w:rsidR="003B3925">
        <w:rPr>
          <w:rFonts w:asciiTheme="majorBidi" w:hAnsiTheme="majorBidi" w:cstheme="majorBidi"/>
          <w:sz w:val="24"/>
          <w:szCs w:val="24"/>
          <w:lang w:eastAsia="en-AU" w:bidi="he-IL"/>
        </w:rPr>
        <w:t>.</w:t>
      </w:r>
      <w:r w:rsidRPr="00E51FA9">
        <w:rPr>
          <w:rFonts w:asciiTheme="majorBidi" w:hAnsiTheme="majorBidi" w:cstheme="majorBidi"/>
          <w:sz w:val="24"/>
          <w:szCs w:val="24"/>
          <w:lang w:eastAsia="en-AU" w:bidi="he-IL"/>
        </w:rPr>
        <w:t xml:space="preserve"> (2015)</w:t>
      </w:r>
      <w:r w:rsidR="003B3925">
        <w:rPr>
          <w:rFonts w:asciiTheme="majorBidi" w:hAnsiTheme="majorBidi" w:cstheme="majorBidi"/>
          <w:sz w:val="24"/>
          <w:szCs w:val="24"/>
          <w:lang w:eastAsia="en-AU" w:bidi="he-IL"/>
        </w:rPr>
        <w:t>.</w:t>
      </w:r>
      <w:r w:rsidRPr="00E51FA9">
        <w:rPr>
          <w:rFonts w:asciiTheme="majorBidi" w:hAnsiTheme="majorBidi" w:cstheme="majorBidi"/>
          <w:sz w:val="24"/>
          <w:szCs w:val="24"/>
          <w:lang w:eastAsia="en-AU" w:bidi="he-IL"/>
        </w:rPr>
        <w:t xml:space="preserve"> </w:t>
      </w:r>
      <w:r w:rsidRPr="00482E3E">
        <w:rPr>
          <w:rFonts w:asciiTheme="majorBidi" w:hAnsiTheme="majorBidi" w:cstheme="majorBidi"/>
          <w:i/>
          <w:sz w:val="24"/>
          <w:szCs w:val="24"/>
          <w:lang w:eastAsia="en-AU" w:bidi="he-IL"/>
        </w:rPr>
        <w:t>Reporting and investigation of allegations of abuse in the disability sector: phase 1 – the effectiveness of statutory oversight</w:t>
      </w:r>
      <w:r w:rsidRPr="00E51FA9">
        <w:rPr>
          <w:rFonts w:asciiTheme="majorBidi" w:hAnsiTheme="majorBidi" w:cstheme="majorBidi"/>
          <w:sz w:val="24"/>
          <w:szCs w:val="24"/>
          <w:lang w:eastAsia="en-AU" w:bidi="he-IL"/>
        </w:rPr>
        <w:t>.</w:t>
      </w:r>
      <w:r w:rsidR="003B3925">
        <w:rPr>
          <w:rFonts w:asciiTheme="majorBidi" w:hAnsiTheme="majorBidi" w:cstheme="majorBidi"/>
          <w:sz w:val="24"/>
          <w:szCs w:val="24"/>
          <w:lang w:eastAsia="en-AU" w:bidi="he-IL"/>
        </w:rPr>
        <w:t xml:space="preserve"> Retrieved from </w:t>
      </w:r>
      <w:hyperlink r:id="rId38" w:history="1">
        <w:r w:rsidR="00482E3E" w:rsidRPr="00C64B1F">
          <w:rPr>
            <w:rStyle w:val="Hyperlink"/>
            <w:rFonts w:asciiTheme="majorBidi" w:hAnsiTheme="majorBidi" w:cstheme="majorBidi"/>
            <w:color w:val="auto"/>
            <w:sz w:val="24"/>
            <w:szCs w:val="24"/>
            <w:u w:val="none"/>
            <w:lang w:eastAsia="en-AU" w:bidi="he-IL"/>
          </w:rPr>
          <w:t>https://www.ombudsman.vic.gov.au/getattachment/c6499f78-0eec-4e4a-8e94-e4cd716a64f8</w:t>
        </w:r>
      </w:hyperlink>
      <w:r w:rsidR="00482E3E" w:rsidRPr="00460210">
        <w:rPr>
          <w:rFonts w:asciiTheme="majorBidi" w:hAnsiTheme="majorBidi" w:cstheme="majorBidi"/>
          <w:sz w:val="24"/>
          <w:szCs w:val="24"/>
          <w:lang w:eastAsia="en-AU" w:bidi="he-IL"/>
        </w:rPr>
        <w:t xml:space="preserve"> </w:t>
      </w:r>
    </w:p>
    <w:p w14:paraId="166BA084" w14:textId="77777777" w:rsidR="00A44B87" w:rsidRPr="00460210" w:rsidRDefault="00A44B87" w:rsidP="00B10D81">
      <w:pPr>
        <w:spacing w:after="60"/>
        <w:rPr>
          <w:rFonts w:asciiTheme="majorBidi" w:hAnsiTheme="majorBidi" w:cstheme="majorBidi"/>
          <w:sz w:val="24"/>
          <w:szCs w:val="24"/>
        </w:rPr>
      </w:pPr>
    </w:p>
    <w:p w14:paraId="39F995E3" w14:textId="5639CBBD"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Wang, J. J. (2005). Psychological abuse </w:t>
      </w:r>
      <w:r w:rsidR="00861FCE" w:rsidRPr="00E51FA9">
        <w:rPr>
          <w:rFonts w:asciiTheme="majorBidi" w:hAnsiTheme="majorBidi" w:cstheme="majorBidi"/>
          <w:sz w:val="24"/>
          <w:szCs w:val="24"/>
        </w:rPr>
        <w:t>behaviour</w:t>
      </w:r>
      <w:r w:rsidRPr="00E51FA9">
        <w:rPr>
          <w:rFonts w:asciiTheme="majorBidi" w:hAnsiTheme="majorBidi" w:cstheme="majorBidi"/>
          <w:sz w:val="24"/>
          <w:szCs w:val="24"/>
        </w:rPr>
        <w:t xml:space="preserve"> exhibited by caregivers in the care of the elderly and correlated factors in long-term care facilities in Taiwan. </w:t>
      </w:r>
      <w:r w:rsidRPr="00E51FA9">
        <w:rPr>
          <w:rFonts w:asciiTheme="majorBidi" w:hAnsiTheme="majorBidi" w:cstheme="majorBidi"/>
          <w:i/>
          <w:iCs/>
          <w:sz w:val="24"/>
          <w:szCs w:val="24"/>
        </w:rPr>
        <w:t>Journal of Nursing Research, 13</w:t>
      </w:r>
      <w:r w:rsidRPr="00FD6865">
        <w:rPr>
          <w:rFonts w:asciiTheme="majorBidi" w:hAnsiTheme="majorBidi" w:cstheme="majorBidi"/>
          <w:iCs/>
          <w:sz w:val="24"/>
          <w:szCs w:val="24"/>
        </w:rPr>
        <w:t>(4),</w:t>
      </w:r>
      <w:r w:rsidRPr="00E51FA9">
        <w:rPr>
          <w:rFonts w:asciiTheme="majorBidi" w:hAnsiTheme="majorBidi" w:cstheme="majorBidi"/>
          <w:sz w:val="24"/>
          <w:szCs w:val="24"/>
        </w:rPr>
        <w:t xml:space="preserve"> 271-280.</w:t>
      </w:r>
    </w:p>
    <w:p w14:paraId="54C03835" w14:textId="77777777" w:rsidR="00B10D81" w:rsidRDefault="00B10D81" w:rsidP="00B10D81">
      <w:pPr>
        <w:spacing w:after="60"/>
        <w:rPr>
          <w:rFonts w:asciiTheme="majorBidi" w:hAnsiTheme="majorBidi" w:cstheme="majorBidi"/>
          <w:sz w:val="24"/>
          <w:szCs w:val="24"/>
        </w:rPr>
      </w:pPr>
    </w:p>
    <w:p w14:paraId="491605BE" w14:textId="531E61E2" w:rsidR="00A44B87"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White, C., Holland, E., Marsland, D. &amp; Oakes, P. (2003) ‘The Identification of Environments and Cultures That Promote the Abuse of People with Intellectual Disabilities: A Review of the Literature’</w:t>
      </w:r>
      <w:r w:rsidR="0010705D">
        <w:rPr>
          <w:rFonts w:asciiTheme="majorBidi" w:hAnsiTheme="majorBidi" w:cstheme="majorBidi"/>
          <w:sz w:val="24"/>
          <w:szCs w:val="24"/>
        </w:rPr>
        <w:t>.</w:t>
      </w:r>
      <w:r w:rsidRPr="00E51FA9">
        <w:rPr>
          <w:rFonts w:asciiTheme="majorBidi" w:hAnsiTheme="majorBidi" w:cstheme="majorBidi"/>
          <w:sz w:val="24"/>
          <w:szCs w:val="24"/>
        </w:rPr>
        <w:t xml:space="preserve"> </w:t>
      </w:r>
      <w:r w:rsidRPr="00E51FA9">
        <w:rPr>
          <w:rFonts w:asciiTheme="majorBidi" w:hAnsiTheme="majorBidi" w:cstheme="majorBidi"/>
          <w:i/>
          <w:iCs/>
          <w:sz w:val="24"/>
          <w:szCs w:val="24"/>
        </w:rPr>
        <w:t>Journal of Applied Research in Intellectual Disabilities, 19</w:t>
      </w:r>
      <w:r w:rsidRPr="00E51FA9">
        <w:rPr>
          <w:rFonts w:asciiTheme="majorBidi" w:hAnsiTheme="majorBidi" w:cstheme="majorBidi"/>
          <w:sz w:val="24"/>
          <w:szCs w:val="24"/>
        </w:rPr>
        <w:t>: 1-9.</w:t>
      </w:r>
    </w:p>
    <w:p w14:paraId="15010A9D" w14:textId="77777777" w:rsidR="00B10D81" w:rsidRDefault="00B10D81" w:rsidP="00B10D81">
      <w:pPr>
        <w:spacing w:after="60"/>
        <w:rPr>
          <w:rFonts w:asciiTheme="majorBidi" w:hAnsiTheme="majorBidi" w:cstheme="majorBidi"/>
          <w:sz w:val="24"/>
          <w:szCs w:val="24"/>
        </w:rPr>
      </w:pPr>
    </w:p>
    <w:p w14:paraId="6CE73432" w14:textId="77777777" w:rsidR="00A44B87" w:rsidRPr="00E51FA9" w:rsidRDefault="00A44B87"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Wigham, S., Hatton, C., &amp; Taylor, J. L. (2011). The effects of traumatizing life events on people with intellectual disabilities: A systematic review. </w:t>
      </w:r>
      <w:r w:rsidRPr="00E51FA9">
        <w:rPr>
          <w:rFonts w:asciiTheme="majorBidi" w:hAnsiTheme="majorBidi" w:cstheme="majorBidi"/>
          <w:i/>
          <w:iCs/>
          <w:sz w:val="24"/>
          <w:szCs w:val="24"/>
        </w:rPr>
        <w:t>Journal of Mental Health Research in Intellectual Disabilities, 4</w:t>
      </w:r>
      <w:r w:rsidRPr="00B87E88">
        <w:rPr>
          <w:rFonts w:asciiTheme="majorBidi" w:hAnsiTheme="majorBidi" w:cstheme="majorBidi"/>
          <w:iCs/>
          <w:sz w:val="24"/>
          <w:szCs w:val="24"/>
        </w:rPr>
        <w:t>(1),</w:t>
      </w:r>
      <w:r w:rsidRPr="00E51FA9">
        <w:rPr>
          <w:rFonts w:asciiTheme="majorBidi" w:hAnsiTheme="majorBidi" w:cstheme="majorBidi"/>
          <w:sz w:val="24"/>
          <w:szCs w:val="24"/>
        </w:rPr>
        <w:t xml:space="preserve"> 19-39.</w:t>
      </w:r>
    </w:p>
    <w:p w14:paraId="44D8E332" w14:textId="77777777" w:rsidR="00A44B87" w:rsidRPr="00E51FA9" w:rsidRDefault="00A44B87" w:rsidP="00B10D81">
      <w:pPr>
        <w:spacing w:after="60"/>
        <w:rPr>
          <w:rFonts w:asciiTheme="majorBidi" w:hAnsiTheme="majorBidi" w:cstheme="majorBidi"/>
          <w:sz w:val="24"/>
          <w:szCs w:val="24"/>
          <w:lang w:eastAsia="en-AU" w:bidi="he-IL"/>
        </w:rPr>
      </w:pPr>
    </w:p>
    <w:p w14:paraId="4F90C782" w14:textId="0249E369" w:rsidR="00A44B87" w:rsidRPr="00E51FA9" w:rsidRDefault="0010705D"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rPr>
        <w:lastRenderedPageBreak/>
        <w:t xml:space="preserve">Women </w:t>
      </w:r>
      <w:r w:rsidR="00861FCE" w:rsidRPr="00E51FA9">
        <w:rPr>
          <w:rFonts w:asciiTheme="majorBidi" w:hAnsiTheme="majorBidi" w:cstheme="majorBidi"/>
          <w:sz w:val="24"/>
          <w:szCs w:val="24"/>
        </w:rPr>
        <w:t>with</w:t>
      </w:r>
      <w:r w:rsidRPr="00E51FA9">
        <w:rPr>
          <w:rFonts w:asciiTheme="majorBidi" w:hAnsiTheme="majorBidi" w:cstheme="majorBidi"/>
          <w:sz w:val="24"/>
          <w:szCs w:val="24"/>
        </w:rPr>
        <w:t xml:space="preserve"> Disabilities Australia (WWDA)</w:t>
      </w:r>
      <w:r>
        <w:rPr>
          <w:rFonts w:asciiTheme="majorBidi" w:hAnsiTheme="majorBidi" w:cstheme="majorBidi"/>
          <w:sz w:val="24"/>
          <w:szCs w:val="24"/>
        </w:rPr>
        <w:t>.</w:t>
      </w:r>
      <w:r w:rsidRPr="00E51FA9">
        <w:rPr>
          <w:rFonts w:asciiTheme="majorBidi" w:hAnsiTheme="majorBidi" w:cstheme="majorBidi"/>
          <w:sz w:val="24"/>
          <w:szCs w:val="24"/>
        </w:rPr>
        <w:t xml:space="preserve"> </w:t>
      </w:r>
      <w:r w:rsidR="00A44B87" w:rsidRPr="00E51FA9">
        <w:rPr>
          <w:rFonts w:asciiTheme="majorBidi" w:hAnsiTheme="majorBidi" w:cstheme="majorBidi"/>
          <w:sz w:val="24"/>
          <w:szCs w:val="24"/>
          <w:lang w:eastAsia="en-AU" w:bidi="he-IL"/>
        </w:rPr>
        <w:t xml:space="preserve">(2012). An overview of its nature, scope, causes and consequences </w:t>
      </w:r>
      <w:r w:rsidR="00A44B87" w:rsidRPr="002B21A6">
        <w:rPr>
          <w:rFonts w:asciiTheme="majorBidi" w:hAnsiTheme="majorBidi" w:cstheme="majorBidi"/>
          <w:i/>
          <w:sz w:val="24"/>
          <w:szCs w:val="24"/>
          <w:lang w:eastAsia="en-AU" w:bidi="he-IL"/>
        </w:rPr>
        <w:t>(</w:t>
      </w:r>
      <w:proofErr w:type="spellStart"/>
      <w:r w:rsidR="00A44B87" w:rsidRPr="002B21A6">
        <w:rPr>
          <w:rFonts w:asciiTheme="majorBidi" w:hAnsiTheme="majorBidi" w:cstheme="majorBidi"/>
          <w:i/>
          <w:sz w:val="24"/>
          <w:szCs w:val="24"/>
          <w:lang w:eastAsia="en-AU" w:bidi="he-IL"/>
        </w:rPr>
        <w:t>Northeastern</w:t>
      </w:r>
      <w:proofErr w:type="spellEnd"/>
      <w:r w:rsidR="00A44B87" w:rsidRPr="002B21A6">
        <w:rPr>
          <w:rFonts w:asciiTheme="majorBidi" w:hAnsiTheme="majorBidi" w:cstheme="majorBidi"/>
          <w:i/>
          <w:sz w:val="24"/>
          <w:szCs w:val="24"/>
          <w:lang w:eastAsia="en-AU" w:bidi="he-IL"/>
        </w:rPr>
        <w:t xml:space="preserve"> University School of Law </w:t>
      </w:r>
      <w:proofErr w:type="spellStart"/>
      <w:r w:rsidR="00A44B87" w:rsidRPr="002B21A6">
        <w:rPr>
          <w:rFonts w:asciiTheme="majorBidi" w:hAnsiTheme="majorBidi" w:cstheme="majorBidi"/>
          <w:i/>
          <w:sz w:val="24"/>
          <w:szCs w:val="24"/>
          <w:lang w:eastAsia="en-AU" w:bidi="he-IL"/>
        </w:rPr>
        <w:t>Northeastern</w:t>
      </w:r>
      <w:proofErr w:type="spellEnd"/>
      <w:r w:rsidR="00A44B87" w:rsidRPr="002B21A6">
        <w:rPr>
          <w:rFonts w:asciiTheme="majorBidi" w:hAnsiTheme="majorBidi" w:cstheme="majorBidi"/>
          <w:i/>
          <w:sz w:val="24"/>
          <w:szCs w:val="24"/>
          <w:lang w:eastAsia="en-AU" w:bidi="he-IL"/>
        </w:rPr>
        <w:t xml:space="preserve"> Public Law and Theory Faculty  Research Papers Series No. 104-2012)</w:t>
      </w:r>
      <w:r w:rsidR="00A44B87" w:rsidRPr="00E51FA9">
        <w:rPr>
          <w:rFonts w:asciiTheme="majorBidi" w:hAnsiTheme="majorBidi" w:cstheme="majorBidi"/>
          <w:sz w:val="24"/>
          <w:szCs w:val="24"/>
          <w:lang w:eastAsia="en-AU" w:bidi="he-IL"/>
        </w:rPr>
        <w:t xml:space="preserve">. </w:t>
      </w:r>
    </w:p>
    <w:p w14:paraId="0042B7F9" w14:textId="77777777" w:rsidR="00A44B87" w:rsidRPr="00E51FA9" w:rsidRDefault="00A44B87" w:rsidP="00B10D81">
      <w:pPr>
        <w:spacing w:after="60"/>
        <w:rPr>
          <w:rFonts w:asciiTheme="majorBidi" w:hAnsiTheme="majorBidi" w:cstheme="majorBidi"/>
          <w:sz w:val="24"/>
          <w:szCs w:val="24"/>
          <w:lang w:eastAsia="en-AU" w:bidi="he-IL"/>
        </w:rPr>
      </w:pPr>
    </w:p>
    <w:p w14:paraId="1A987498" w14:textId="44E2CB2F" w:rsidR="00A44B87" w:rsidRPr="00E51FA9" w:rsidRDefault="0010705D" w:rsidP="00B10D81">
      <w:pPr>
        <w:spacing w:after="60"/>
        <w:rPr>
          <w:rFonts w:asciiTheme="majorBidi" w:hAnsiTheme="majorBidi" w:cstheme="majorBidi"/>
          <w:sz w:val="24"/>
          <w:szCs w:val="24"/>
        </w:rPr>
      </w:pPr>
      <w:r w:rsidRPr="00E51FA9">
        <w:rPr>
          <w:rFonts w:asciiTheme="majorBidi" w:hAnsiTheme="majorBidi" w:cstheme="majorBidi"/>
          <w:sz w:val="24"/>
          <w:szCs w:val="24"/>
        </w:rPr>
        <w:t xml:space="preserve">Women </w:t>
      </w:r>
      <w:r w:rsidR="00861FCE" w:rsidRPr="00E51FA9">
        <w:rPr>
          <w:rFonts w:asciiTheme="majorBidi" w:hAnsiTheme="majorBidi" w:cstheme="majorBidi"/>
          <w:sz w:val="24"/>
          <w:szCs w:val="24"/>
        </w:rPr>
        <w:t>with</w:t>
      </w:r>
      <w:r w:rsidRPr="00E51FA9">
        <w:rPr>
          <w:rFonts w:asciiTheme="majorBidi" w:hAnsiTheme="majorBidi" w:cstheme="majorBidi"/>
          <w:sz w:val="24"/>
          <w:szCs w:val="24"/>
        </w:rPr>
        <w:t xml:space="preserve"> Disabilities Australia (WWDA)</w:t>
      </w:r>
      <w:r>
        <w:rPr>
          <w:rFonts w:asciiTheme="majorBidi" w:hAnsiTheme="majorBidi" w:cstheme="majorBidi"/>
          <w:sz w:val="24"/>
          <w:szCs w:val="24"/>
        </w:rPr>
        <w:t>.</w:t>
      </w:r>
      <w:r w:rsidRPr="00E51FA9">
        <w:rPr>
          <w:rFonts w:asciiTheme="majorBidi" w:hAnsiTheme="majorBidi" w:cstheme="majorBidi"/>
          <w:sz w:val="24"/>
          <w:szCs w:val="24"/>
        </w:rPr>
        <w:t xml:space="preserve"> </w:t>
      </w:r>
      <w:r w:rsidR="00A44B87" w:rsidRPr="00E51FA9">
        <w:rPr>
          <w:rFonts w:asciiTheme="majorBidi" w:hAnsiTheme="majorBidi" w:cstheme="majorBidi"/>
          <w:sz w:val="24"/>
          <w:szCs w:val="24"/>
        </w:rPr>
        <w:t xml:space="preserve">(2011). </w:t>
      </w:r>
      <w:r w:rsidR="00A44B87" w:rsidRPr="002B21A6">
        <w:rPr>
          <w:rFonts w:asciiTheme="majorBidi" w:hAnsiTheme="majorBidi" w:cstheme="majorBidi"/>
          <w:i/>
          <w:sz w:val="24"/>
          <w:szCs w:val="24"/>
        </w:rPr>
        <w:t xml:space="preserve">Submission to the UN Analytical Study on Violence against Women and Girls </w:t>
      </w:r>
      <w:r w:rsidR="00861FCE" w:rsidRPr="002B21A6">
        <w:rPr>
          <w:rFonts w:asciiTheme="majorBidi" w:hAnsiTheme="majorBidi" w:cstheme="majorBidi"/>
          <w:i/>
          <w:sz w:val="24"/>
          <w:szCs w:val="24"/>
        </w:rPr>
        <w:t>with</w:t>
      </w:r>
      <w:r w:rsidR="00A44B87" w:rsidRPr="002B21A6">
        <w:rPr>
          <w:rFonts w:asciiTheme="majorBidi" w:hAnsiTheme="majorBidi" w:cstheme="majorBidi"/>
          <w:i/>
          <w:sz w:val="24"/>
          <w:szCs w:val="24"/>
        </w:rPr>
        <w:t xml:space="preserve"> Disabilities</w:t>
      </w:r>
      <w:r w:rsidR="00A44B87" w:rsidRPr="00E51FA9">
        <w:rPr>
          <w:rFonts w:asciiTheme="majorBidi" w:hAnsiTheme="majorBidi" w:cstheme="majorBidi"/>
          <w:sz w:val="24"/>
          <w:szCs w:val="24"/>
        </w:rPr>
        <w:t xml:space="preserve">. </w:t>
      </w:r>
      <w:r w:rsidRPr="002B21A6">
        <w:rPr>
          <w:sz w:val="23"/>
          <w:szCs w:val="23"/>
          <w:shd w:val="clear" w:color="auto" w:fill="FFFFFF"/>
        </w:rPr>
        <w:t>Lenah Valley,</w:t>
      </w:r>
      <w:r w:rsidRPr="002B21A6">
        <w:rPr>
          <w:rFonts w:asciiTheme="majorBidi" w:hAnsiTheme="majorBidi" w:cstheme="majorBidi"/>
          <w:sz w:val="24"/>
          <w:szCs w:val="24"/>
        </w:rPr>
        <w:t xml:space="preserve"> </w:t>
      </w:r>
      <w:r w:rsidR="008A392C">
        <w:rPr>
          <w:rFonts w:asciiTheme="majorBidi" w:hAnsiTheme="majorBidi" w:cstheme="majorBidi"/>
          <w:sz w:val="24"/>
          <w:szCs w:val="24"/>
        </w:rPr>
        <w:t>Australia</w:t>
      </w:r>
      <w:r w:rsidR="00A44B87" w:rsidRPr="00E51FA9">
        <w:rPr>
          <w:rFonts w:asciiTheme="majorBidi" w:hAnsiTheme="majorBidi" w:cstheme="majorBidi"/>
          <w:sz w:val="24"/>
          <w:szCs w:val="24"/>
        </w:rPr>
        <w:t xml:space="preserve">: </w:t>
      </w:r>
      <w:r>
        <w:rPr>
          <w:rFonts w:asciiTheme="majorBidi" w:hAnsiTheme="majorBidi" w:cstheme="majorBidi"/>
          <w:sz w:val="24"/>
          <w:szCs w:val="24"/>
        </w:rPr>
        <w:t>WWDA</w:t>
      </w:r>
      <w:r w:rsidR="00A44B87" w:rsidRPr="00E51FA9">
        <w:rPr>
          <w:rFonts w:asciiTheme="majorBidi" w:hAnsiTheme="majorBidi" w:cstheme="majorBidi"/>
          <w:sz w:val="24"/>
          <w:szCs w:val="24"/>
        </w:rPr>
        <w:t>.</w:t>
      </w:r>
    </w:p>
    <w:p w14:paraId="65BDBA58" w14:textId="77777777" w:rsidR="00A44B87" w:rsidRPr="00E51FA9" w:rsidRDefault="00A44B87" w:rsidP="00B10D81">
      <w:pPr>
        <w:spacing w:after="60"/>
        <w:rPr>
          <w:rFonts w:asciiTheme="majorBidi" w:hAnsiTheme="majorBidi" w:cstheme="majorBidi"/>
          <w:sz w:val="24"/>
          <w:szCs w:val="24"/>
          <w:lang w:eastAsia="en-AU" w:bidi="he-IL"/>
        </w:rPr>
      </w:pPr>
    </w:p>
    <w:p w14:paraId="3AA2A2FC" w14:textId="58A9DA12"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World Health Organization</w:t>
      </w:r>
      <w:r w:rsidR="0010705D">
        <w:rPr>
          <w:rFonts w:asciiTheme="majorBidi" w:hAnsiTheme="majorBidi" w:cstheme="majorBidi"/>
          <w:sz w:val="24"/>
          <w:szCs w:val="24"/>
          <w:lang w:eastAsia="en-AU" w:bidi="he-IL"/>
        </w:rPr>
        <w:t xml:space="preserve"> (WHO)</w:t>
      </w:r>
      <w:r w:rsidRPr="00E51FA9">
        <w:rPr>
          <w:rFonts w:asciiTheme="majorBidi" w:hAnsiTheme="majorBidi" w:cstheme="majorBidi"/>
          <w:sz w:val="24"/>
          <w:szCs w:val="24"/>
          <w:lang w:eastAsia="en-AU" w:bidi="he-IL"/>
        </w:rPr>
        <w:t xml:space="preserve">. (2009). </w:t>
      </w:r>
      <w:r w:rsidRPr="005F13F4">
        <w:rPr>
          <w:rFonts w:asciiTheme="majorBidi" w:hAnsiTheme="majorBidi" w:cstheme="majorBidi"/>
          <w:i/>
          <w:sz w:val="24"/>
          <w:szCs w:val="24"/>
          <w:lang w:eastAsia="en-AU" w:bidi="he-IL"/>
        </w:rPr>
        <w:t>Violence prevention: The evidence</w:t>
      </w:r>
      <w:r w:rsidRPr="00E51FA9">
        <w:rPr>
          <w:rFonts w:asciiTheme="majorBidi" w:hAnsiTheme="majorBidi" w:cstheme="majorBidi"/>
          <w:sz w:val="24"/>
          <w:szCs w:val="24"/>
          <w:lang w:eastAsia="en-AU" w:bidi="he-IL"/>
        </w:rPr>
        <w:t xml:space="preserve">. Geneva, </w:t>
      </w:r>
      <w:r w:rsidR="0010705D">
        <w:rPr>
          <w:rFonts w:asciiTheme="majorBidi" w:hAnsiTheme="majorBidi" w:cstheme="majorBidi"/>
          <w:sz w:val="24"/>
          <w:szCs w:val="24"/>
          <w:lang w:eastAsia="en-AU" w:bidi="he-IL"/>
        </w:rPr>
        <w:t>Switzerland: WHO.</w:t>
      </w:r>
    </w:p>
    <w:p w14:paraId="0C536183" w14:textId="77777777" w:rsidR="00A44B87" w:rsidRPr="00E51FA9" w:rsidRDefault="00A44B87" w:rsidP="00B10D81">
      <w:pPr>
        <w:spacing w:after="60"/>
        <w:rPr>
          <w:rFonts w:asciiTheme="majorBidi" w:hAnsiTheme="majorBidi" w:cstheme="majorBidi"/>
          <w:sz w:val="24"/>
          <w:szCs w:val="24"/>
          <w:lang w:eastAsia="en-AU" w:bidi="he-IL"/>
        </w:rPr>
      </w:pPr>
    </w:p>
    <w:p w14:paraId="75D08866" w14:textId="6CC32CE6" w:rsidR="00A44B87" w:rsidRPr="00E51FA9"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World Health Organization</w:t>
      </w:r>
      <w:r w:rsidR="0010705D">
        <w:rPr>
          <w:rFonts w:asciiTheme="majorBidi" w:hAnsiTheme="majorBidi" w:cstheme="majorBidi"/>
          <w:sz w:val="24"/>
          <w:szCs w:val="24"/>
          <w:lang w:eastAsia="en-AU" w:bidi="he-IL"/>
        </w:rPr>
        <w:t xml:space="preserve"> (WHO)</w:t>
      </w:r>
      <w:r w:rsidRPr="00E51FA9">
        <w:rPr>
          <w:rFonts w:asciiTheme="majorBidi" w:hAnsiTheme="majorBidi" w:cstheme="majorBidi"/>
          <w:sz w:val="24"/>
          <w:szCs w:val="24"/>
          <w:lang w:eastAsia="en-AU" w:bidi="he-IL"/>
        </w:rPr>
        <w:t xml:space="preserve">. (2011). </w:t>
      </w:r>
      <w:r w:rsidRPr="002B21A6">
        <w:rPr>
          <w:rFonts w:asciiTheme="majorBidi" w:hAnsiTheme="majorBidi" w:cstheme="majorBidi"/>
          <w:i/>
          <w:sz w:val="24"/>
          <w:szCs w:val="24"/>
          <w:lang w:eastAsia="en-AU" w:bidi="he-IL"/>
        </w:rPr>
        <w:t>World report on disability</w:t>
      </w:r>
      <w:r w:rsidRPr="00E51FA9">
        <w:rPr>
          <w:rFonts w:asciiTheme="majorBidi" w:hAnsiTheme="majorBidi" w:cstheme="majorBidi"/>
          <w:sz w:val="24"/>
          <w:szCs w:val="24"/>
          <w:lang w:eastAsia="en-AU" w:bidi="he-IL"/>
        </w:rPr>
        <w:t xml:space="preserve">. Geneva, Switzerland: </w:t>
      </w:r>
      <w:r w:rsidR="0010705D">
        <w:rPr>
          <w:rFonts w:asciiTheme="majorBidi" w:hAnsiTheme="majorBidi" w:cstheme="majorBidi"/>
          <w:sz w:val="24"/>
          <w:szCs w:val="24"/>
          <w:lang w:eastAsia="en-AU" w:bidi="he-IL"/>
        </w:rPr>
        <w:t>WHO.</w:t>
      </w:r>
    </w:p>
    <w:p w14:paraId="5C0D9887" w14:textId="77777777" w:rsidR="00A44B87" w:rsidRPr="00E51FA9" w:rsidRDefault="00A44B87" w:rsidP="00B10D81">
      <w:pPr>
        <w:spacing w:after="60"/>
        <w:rPr>
          <w:rFonts w:asciiTheme="majorBidi" w:hAnsiTheme="majorBidi" w:cstheme="majorBidi"/>
          <w:sz w:val="24"/>
          <w:szCs w:val="24"/>
          <w:lang w:eastAsia="en-AU" w:bidi="he-IL"/>
        </w:rPr>
      </w:pPr>
    </w:p>
    <w:p w14:paraId="10A16D67" w14:textId="3BA25BAE" w:rsidR="00A44B87" w:rsidRPr="00A44B87" w:rsidRDefault="00A44B87" w:rsidP="00B10D81">
      <w:pPr>
        <w:spacing w:after="60"/>
        <w:rPr>
          <w:rFonts w:asciiTheme="majorBidi" w:hAnsiTheme="majorBidi" w:cstheme="majorBidi"/>
          <w:sz w:val="24"/>
          <w:szCs w:val="24"/>
          <w:lang w:eastAsia="en-AU" w:bidi="he-IL"/>
        </w:rPr>
      </w:pPr>
      <w:r w:rsidRPr="00E51FA9">
        <w:rPr>
          <w:rFonts w:asciiTheme="majorBidi" w:hAnsiTheme="majorBidi" w:cstheme="majorBidi"/>
          <w:sz w:val="24"/>
          <w:szCs w:val="24"/>
          <w:lang w:eastAsia="en-AU" w:bidi="he-IL"/>
        </w:rPr>
        <w:t>World Health Organization</w:t>
      </w:r>
      <w:r w:rsidR="0010705D">
        <w:rPr>
          <w:rFonts w:asciiTheme="majorBidi" w:hAnsiTheme="majorBidi" w:cstheme="majorBidi"/>
          <w:sz w:val="24"/>
          <w:szCs w:val="24"/>
          <w:lang w:eastAsia="en-AU" w:bidi="he-IL"/>
        </w:rPr>
        <w:t xml:space="preserve"> (WHO)</w:t>
      </w:r>
      <w:r w:rsidR="002B21A6">
        <w:rPr>
          <w:rFonts w:asciiTheme="majorBidi" w:hAnsiTheme="majorBidi" w:cstheme="majorBidi"/>
          <w:sz w:val="24"/>
          <w:szCs w:val="24"/>
          <w:lang w:eastAsia="en-AU" w:bidi="he-IL"/>
        </w:rPr>
        <w:t xml:space="preserve">. (2013). </w:t>
      </w:r>
      <w:r w:rsidR="002B21A6" w:rsidRPr="002B21A6">
        <w:rPr>
          <w:rFonts w:asciiTheme="majorBidi" w:hAnsiTheme="majorBidi" w:cstheme="majorBidi"/>
          <w:i/>
          <w:sz w:val="24"/>
          <w:szCs w:val="24"/>
          <w:lang w:eastAsia="en-AU" w:bidi="he-IL"/>
        </w:rPr>
        <w:t>Fact sheets</w:t>
      </w:r>
      <w:r w:rsidRPr="00E51FA9">
        <w:rPr>
          <w:rFonts w:asciiTheme="majorBidi" w:hAnsiTheme="majorBidi" w:cstheme="majorBidi"/>
          <w:sz w:val="24"/>
          <w:szCs w:val="24"/>
          <w:lang w:eastAsia="en-AU" w:bidi="he-IL"/>
        </w:rPr>
        <w:t xml:space="preserve">. Retrieved from </w:t>
      </w:r>
      <w:hyperlink r:id="rId39" w:history="1">
        <w:r w:rsidRPr="00C64B1F">
          <w:rPr>
            <w:rFonts w:asciiTheme="majorBidi" w:hAnsiTheme="majorBidi" w:cstheme="majorBidi"/>
            <w:sz w:val="24"/>
            <w:szCs w:val="24"/>
            <w:lang w:eastAsia="en-AU" w:bidi="he-IL"/>
          </w:rPr>
          <w:t>http://www.who.int/mediacentre/factsheets/en/</w:t>
        </w:r>
      </w:hyperlink>
      <w:r w:rsidR="002B21A6">
        <w:rPr>
          <w:rFonts w:asciiTheme="majorBidi" w:hAnsiTheme="majorBidi" w:cstheme="majorBidi"/>
          <w:sz w:val="24"/>
          <w:szCs w:val="24"/>
          <w:u w:val="single"/>
          <w:lang w:eastAsia="en-AU" w:bidi="he-IL"/>
        </w:rPr>
        <w:t xml:space="preserve"> </w:t>
      </w:r>
    </w:p>
    <w:p w14:paraId="1BEED3A6" w14:textId="77777777" w:rsidR="00A44B87" w:rsidRPr="00A44B87" w:rsidRDefault="00A44B87" w:rsidP="00B10D81">
      <w:pPr>
        <w:spacing w:after="60"/>
        <w:rPr>
          <w:sz w:val="24"/>
          <w:szCs w:val="24"/>
        </w:rPr>
      </w:pPr>
    </w:p>
    <w:p w14:paraId="37AB7B3A" w14:textId="01BB0E16" w:rsidR="000554F7" w:rsidRPr="00AB6044" w:rsidRDefault="000554F7" w:rsidP="0033308E">
      <w:pPr>
        <w:spacing w:after="60" w:line="276" w:lineRule="auto"/>
        <w:rPr>
          <w:sz w:val="24"/>
          <w:szCs w:val="24"/>
        </w:rPr>
      </w:pPr>
    </w:p>
    <w:sectPr w:rsidR="000554F7" w:rsidRPr="00AB6044" w:rsidSect="003B7DAC">
      <w:headerReference w:type="default" r:id="rId40"/>
      <w:footerReference w:type="default" r:id="rId41"/>
      <w:headerReference w:type="first" r:id="rId42"/>
      <w:footerReference w:type="first" r:id="rId43"/>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C9F6D" w14:textId="77777777" w:rsidR="001340CD" w:rsidRDefault="001340CD" w:rsidP="003F7EA1">
      <w:r>
        <w:separator/>
      </w:r>
    </w:p>
  </w:endnote>
  <w:endnote w:type="continuationSeparator" w:id="0">
    <w:p w14:paraId="5E738650" w14:textId="77777777" w:rsidR="001340CD" w:rsidRDefault="001340CD" w:rsidP="003F7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Alt One MT">
    <w:altName w:val="Arial"/>
    <w:panose1 w:val="00000000000000000000"/>
    <w:charset w:val="00"/>
    <w:family w:val="swiss"/>
    <w:notTrueType/>
    <w:pitch w:val="variable"/>
    <w:sig w:usb0="00000003" w:usb1="00000000" w:usb2="00000000" w:usb3="00000000" w:csb0="00000001" w:csb1="00000000"/>
  </w:font>
  <w:font w:name="GothamNarrow-Book">
    <w:altName w:val="Cambria"/>
    <w:panose1 w:val="00000000000000000000"/>
    <w:charset w:val="00"/>
    <w:family w:val="swiss"/>
    <w:notTrueType/>
    <w:pitch w:val="default"/>
    <w:sig w:usb0="00000003" w:usb1="00000000" w:usb2="00000000" w:usb3="00000000" w:csb0="00000001" w:csb1="00000000"/>
  </w:font>
  <w:font w:name="GothamNarrow-Medium">
    <w:altName w:val="Cambria"/>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264254"/>
      <w:docPartObj>
        <w:docPartGallery w:val="Page Numbers (Bottom of Page)"/>
        <w:docPartUnique/>
      </w:docPartObj>
    </w:sdtPr>
    <w:sdtEndPr>
      <w:rPr>
        <w:noProof/>
      </w:rPr>
    </w:sdtEndPr>
    <w:sdtContent>
      <w:p w14:paraId="79B41C17" w14:textId="77777777" w:rsidR="00A27D0F" w:rsidRPr="00062221" w:rsidRDefault="00A27D0F" w:rsidP="00062221">
        <w:pPr>
          <w:pStyle w:val="Footer"/>
          <w:rPr>
            <w:sz w:val="4"/>
          </w:rPr>
        </w:pPr>
      </w:p>
      <w:p w14:paraId="0DA6AA40" w14:textId="592EFBA7" w:rsidR="00A27D0F" w:rsidRPr="00062221" w:rsidRDefault="00A27D0F" w:rsidP="0006222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sidRPr="00C016DF">
          <w:rPr>
            <w:rFonts w:eastAsiaTheme="majorEastAsia"/>
          </w:rPr>
          <w:t xml:space="preserve">Page </w:t>
        </w:r>
        <w:r w:rsidRPr="00C016DF">
          <w:rPr>
            <w:rFonts w:eastAsiaTheme="minorEastAsia"/>
          </w:rPr>
          <w:fldChar w:fldCharType="begin"/>
        </w:r>
        <w:r w:rsidRPr="00C016DF">
          <w:instrText xml:space="preserve"> PAGE   \* MERGEFORMAT </w:instrText>
        </w:r>
        <w:r w:rsidRPr="00C016DF">
          <w:rPr>
            <w:rFonts w:eastAsiaTheme="minorEastAsia"/>
          </w:rPr>
          <w:fldChar w:fldCharType="separate"/>
        </w:r>
        <w:r w:rsidR="008701E6" w:rsidRPr="008701E6">
          <w:rPr>
            <w:rFonts w:eastAsiaTheme="majorEastAsia"/>
            <w:noProof/>
          </w:rPr>
          <w:t>2</w:t>
        </w:r>
        <w:r w:rsidRPr="00C016DF">
          <w:rPr>
            <w:rFonts w:eastAsiaTheme="majorEastAsia"/>
            <w:noProof/>
          </w:rPr>
          <w:fldChar w:fldCharType="end"/>
        </w:r>
      </w:p>
    </w:sdtContent>
  </w:sdt>
  <w:p w14:paraId="4DDE1185" w14:textId="77777777" w:rsidR="00A27D0F" w:rsidRDefault="00A27D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255EB" w14:textId="77777777" w:rsidR="00A27D0F" w:rsidRPr="00412B3C" w:rsidRDefault="00A27D0F" w:rsidP="00412B3C">
    <w:pPr>
      <w:pStyle w:val="Footer"/>
      <w:rPr>
        <w:sz w:val="4"/>
      </w:rPr>
    </w:pPr>
  </w:p>
  <w:p w14:paraId="5DD6D835" w14:textId="77777777" w:rsidR="00A27D0F" w:rsidRDefault="00A27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976995"/>
      <w:docPartObj>
        <w:docPartGallery w:val="Page Numbers (Bottom of Page)"/>
        <w:docPartUnique/>
      </w:docPartObj>
    </w:sdtPr>
    <w:sdtEndPr>
      <w:rPr>
        <w:noProof/>
      </w:rPr>
    </w:sdtEndPr>
    <w:sdtContent>
      <w:p w14:paraId="71A20AD9" w14:textId="68166638" w:rsidR="00A27D0F" w:rsidRPr="00062221" w:rsidRDefault="00A27D0F" w:rsidP="00062221">
        <w:pPr>
          <w:pStyle w:val="Footer"/>
          <w:rPr>
            <w:sz w:val="4"/>
          </w:rPr>
        </w:pPr>
      </w:p>
      <w:p w14:paraId="18DBE59E" w14:textId="7D3E3894" w:rsidR="00A27D0F" w:rsidRPr="00062221" w:rsidRDefault="00A27D0F" w:rsidP="0006222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sidRPr="00C016DF">
          <w:rPr>
            <w:rFonts w:eastAsiaTheme="majorEastAsia"/>
          </w:rPr>
          <w:t xml:space="preserve">Page </w:t>
        </w:r>
        <w:r w:rsidRPr="00C016DF">
          <w:rPr>
            <w:rFonts w:eastAsiaTheme="minorEastAsia"/>
          </w:rPr>
          <w:fldChar w:fldCharType="begin"/>
        </w:r>
        <w:r w:rsidRPr="00C016DF">
          <w:instrText xml:space="preserve"> PAGE   \* MERGEFORMAT </w:instrText>
        </w:r>
        <w:r w:rsidRPr="00C016DF">
          <w:rPr>
            <w:rFonts w:eastAsiaTheme="minorEastAsia"/>
          </w:rPr>
          <w:fldChar w:fldCharType="separate"/>
        </w:r>
        <w:r w:rsidR="008701E6" w:rsidRPr="008701E6">
          <w:rPr>
            <w:rFonts w:eastAsiaTheme="majorEastAsia"/>
            <w:noProof/>
          </w:rPr>
          <w:t>46</w:t>
        </w:r>
        <w:r w:rsidRPr="00C016DF">
          <w:rPr>
            <w:rFonts w:eastAsiaTheme="majorEastAsia"/>
            <w:noProof/>
          </w:rPr>
          <w:fldChar w:fldCharType="end"/>
        </w:r>
      </w:p>
    </w:sdtContent>
  </w:sdt>
  <w:p w14:paraId="6B5D456B" w14:textId="77777777" w:rsidR="00A27D0F" w:rsidRDefault="00A27D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3489" w14:textId="0A34AF4A" w:rsidR="00A27D0F" w:rsidRPr="00412B3C" w:rsidRDefault="00A27D0F" w:rsidP="00412B3C">
    <w:pPr>
      <w:pStyle w:val="Footer"/>
      <w:rPr>
        <w:sz w:val="4"/>
      </w:rPr>
    </w:pPr>
  </w:p>
  <w:p w14:paraId="6600A720" w14:textId="77777777" w:rsidR="00A27D0F" w:rsidRDefault="00A27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B30E8" w14:textId="77777777" w:rsidR="001340CD" w:rsidRDefault="001340CD" w:rsidP="003F7EA1">
      <w:r>
        <w:separator/>
      </w:r>
    </w:p>
  </w:footnote>
  <w:footnote w:type="continuationSeparator" w:id="0">
    <w:p w14:paraId="2FAC0839" w14:textId="77777777" w:rsidR="001340CD" w:rsidRDefault="001340CD" w:rsidP="003F7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C6D20" w14:textId="230D8746" w:rsidR="00A27D0F" w:rsidRDefault="00A27D0F">
    <w:pPr>
      <w:pStyle w:val="Header"/>
    </w:pPr>
    <w:r>
      <w:rPr>
        <w:noProof/>
        <w:lang w:eastAsia="en-AU"/>
      </w:rPr>
      <mc:AlternateContent>
        <mc:Choice Requires="wpg">
          <w:drawing>
            <wp:anchor distT="0" distB="0" distL="114300" distR="114300" simplePos="0" relativeHeight="251657728" behindDoc="0" locked="0" layoutInCell="1" allowOverlap="1" wp14:anchorId="3BBD71C3" wp14:editId="3B441E34">
              <wp:simplePos x="0" y="0"/>
              <wp:positionH relativeFrom="column">
                <wp:posOffset>-552450</wp:posOffset>
              </wp:positionH>
              <wp:positionV relativeFrom="paragraph">
                <wp:posOffset>-276885</wp:posOffset>
              </wp:positionV>
              <wp:extent cx="7343775" cy="377190"/>
              <wp:effectExtent l="0" t="0" r="9525" b="3810"/>
              <wp:wrapNone/>
              <wp:docPr id="164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377190"/>
                        <a:chOff x="0" y="0"/>
                        <a:chExt cx="7343612" cy="377190"/>
                      </a:xfrm>
                    </wpg:grpSpPr>
                    <wps:wsp>
                      <wps:cNvPr id="16417" name="Rectangle 7"/>
                      <wps:cNvSpPr>
                        <a:spLocks noChangeArrowheads="1"/>
                      </wps:cNvSpPr>
                      <wps:spPr bwMode="auto">
                        <a:xfrm>
                          <a:off x="467832" y="0"/>
                          <a:ext cx="6875780" cy="3771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16418" name="Rectangle 8"/>
                      <wps:cNvSpPr>
                        <a:spLocks noChangeArrowheads="1"/>
                      </wps:cNvSpPr>
                      <wps:spPr bwMode="auto">
                        <a:xfrm>
                          <a:off x="0" y="0"/>
                          <a:ext cx="467995" cy="377190"/>
                        </a:xfrm>
                        <a:prstGeom prst="rect">
                          <a:avLst/>
                        </a:prstGeom>
                        <a:solidFill>
                          <a:srgbClr val="C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group w14:anchorId="3EAB0906" id="Group 3" o:spid="_x0000_s1026" style="position:absolute;margin-left:-43.5pt;margin-top:-21.8pt;width:578.25pt;height:29.7pt;z-index:251657728" coordsize="7343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">
              <v:rect id="Rectangle 7" o:spid="_x0000_s1027" style="position:absolute;left:4678;width:68758;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" fillcolor="#7f7f7f" stroked="f">
                <v:textbox inset="2.88pt,2.88pt,2.88pt,2.88pt"/>
              </v:rect>
              <v:rect id="Rectangle 8" o:spid="_x0000_s1028" style="position:absolute;width:4679;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" fillcolor="#c00000" stroked="f">
                <v:textbox inset="2.88pt,2.88pt,2.88pt,2.88pt"/>
              </v:rect>
            </v:group>
          </w:pict>
        </mc:Fallback>
      </mc:AlternateContent>
    </w:r>
  </w:p>
  <w:p w14:paraId="41532C1B" w14:textId="1793FAE9" w:rsidR="00A27D0F" w:rsidRDefault="00A27D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5A19" w14:textId="548E553F" w:rsidR="00A27D0F" w:rsidRDefault="00A27D0F">
    <w:pPr>
      <w:pStyle w:val="Header"/>
    </w:pPr>
    <w:r>
      <w:rPr>
        <w:noProof/>
        <w:lang w:eastAsia="en-AU"/>
      </w:rPr>
      <mc:AlternateContent>
        <mc:Choice Requires="wpg">
          <w:drawing>
            <wp:anchor distT="0" distB="0" distL="114300" distR="114300" simplePos="0" relativeHeight="251643904" behindDoc="0" locked="0" layoutInCell="1" allowOverlap="1" wp14:anchorId="73693E4E" wp14:editId="175BAC9F">
              <wp:simplePos x="0" y="0"/>
              <wp:positionH relativeFrom="column">
                <wp:posOffset>-526415</wp:posOffset>
              </wp:positionH>
              <wp:positionV relativeFrom="paragraph">
                <wp:posOffset>-246050</wp:posOffset>
              </wp:positionV>
              <wp:extent cx="9912096" cy="377190"/>
              <wp:effectExtent l="0" t="0" r="0" b="3810"/>
              <wp:wrapNone/>
              <wp:docPr id="163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096" cy="377190"/>
                        <a:chOff x="0" y="0"/>
                        <a:chExt cx="7343612" cy="377190"/>
                      </a:xfrm>
                    </wpg:grpSpPr>
                    <wps:wsp>
                      <wps:cNvPr id="16397" name="Rectangle 7"/>
                      <wps:cNvSpPr>
                        <a:spLocks noChangeArrowheads="1"/>
                      </wps:cNvSpPr>
                      <wps:spPr bwMode="auto">
                        <a:xfrm>
                          <a:off x="467832" y="0"/>
                          <a:ext cx="6875780" cy="3771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16398" name="Rectangle 8"/>
                      <wps:cNvSpPr>
                        <a:spLocks noChangeArrowheads="1"/>
                      </wps:cNvSpPr>
                      <wps:spPr bwMode="auto">
                        <a:xfrm>
                          <a:off x="0" y="0"/>
                          <a:ext cx="467995" cy="377190"/>
                        </a:xfrm>
                        <a:prstGeom prst="rect">
                          <a:avLst/>
                        </a:prstGeom>
                        <a:solidFill>
                          <a:srgbClr val="C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group w14:anchorId="3D6A26B5" id="Group 3" o:spid="_x0000_s1026" style="position:absolute;margin-left:-41.45pt;margin-top:-19.35pt;width:780.5pt;height:29.7pt;z-index:251643904" coordsize="7343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">
              <v:rect id="Rectangle 7" o:spid="_x0000_s1027" style="position:absolute;left:4678;width:68758;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" fillcolor="#7f7f7f" stroked="f">
                <v:textbox inset="2.88pt,2.88pt,2.88pt,2.88pt"/>
              </v:rect>
              <v:rect id="Rectangle 8" o:spid="_x0000_s1028" style="position:absolute;width:4679;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" fillcolor="#c00000" stroked="f">
                <v:textbox inset="2.88pt,2.88pt,2.88pt,2.88pt"/>
              </v:rect>
            </v:group>
          </w:pict>
        </mc:Fallback>
      </mc:AlternateContent>
    </w:r>
  </w:p>
  <w:p w14:paraId="7D87430D" w14:textId="77777777" w:rsidR="00A27D0F" w:rsidRDefault="00A27D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6E6A4" w14:textId="77777777" w:rsidR="00A27D0F" w:rsidRDefault="00A27D0F">
    <w:pPr>
      <w:pStyle w:val="Header"/>
    </w:pPr>
    <w:r>
      <w:rPr>
        <w:noProof/>
        <w:lang w:eastAsia="en-AU"/>
      </w:rPr>
      <mc:AlternateContent>
        <mc:Choice Requires="wpg">
          <w:drawing>
            <wp:anchor distT="0" distB="0" distL="114300" distR="114300" simplePos="0" relativeHeight="251673600" behindDoc="0" locked="0" layoutInCell="1" allowOverlap="1" wp14:anchorId="27AAD26F" wp14:editId="5F57B048">
              <wp:simplePos x="0" y="0"/>
              <wp:positionH relativeFrom="column">
                <wp:posOffset>-393192</wp:posOffset>
              </wp:positionH>
              <wp:positionV relativeFrom="paragraph">
                <wp:posOffset>-266700</wp:posOffset>
              </wp:positionV>
              <wp:extent cx="9912096" cy="377190"/>
              <wp:effectExtent l="0" t="0" r="0" b="3810"/>
              <wp:wrapNone/>
              <wp:docPr id="163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096" cy="377190"/>
                        <a:chOff x="0" y="0"/>
                        <a:chExt cx="7343612" cy="377190"/>
                      </a:xfrm>
                    </wpg:grpSpPr>
                    <wps:wsp>
                      <wps:cNvPr id="16394" name="Rectangle 7"/>
                      <wps:cNvSpPr>
                        <a:spLocks noChangeArrowheads="1"/>
                      </wps:cNvSpPr>
                      <wps:spPr bwMode="auto">
                        <a:xfrm>
                          <a:off x="467832" y="0"/>
                          <a:ext cx="6875780" cy="3771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16395" name="Rectangle 8"/>
                      <wps:cNvSpPr>
                        <a:spLocks noChangeArrowheads="1"/>
                      </wps:cNvSpPr>
                      <wps:spPr bwMode="auto">
                        <a:xfrm>
                          <a:off x="0" y="0"/>
                          <a:ext cx="467995" cy="377190"/>
                        </a:xfrm>
                        <a:prstGeom prst="rect">
                          <a:avLst/>
                        </a:prstGeom>
                        <a:solidFill>
                          <a:srgbClr val="C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group w14:anchorId="08E2C97E" id="Group 3" o:spid="_x0000_s1026" style="position:absolute;margin-left:-30.95pt;margin-top:-21pt;width:780.5pt;height:29.7pt;z-index:251673600" coordsize="7343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">
              <v:rect id="Rectangle 7" o:spid="_x0000_s1027" style="position:absolute;left:4678;width:68758;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" fillcolor="#7f7f7f" stroked="f">
                <v:textbox inset="2.88pt,2.88pt,2.88pt,2.88pt"/>
              </v:rect>
              <v:rect id="Rectangle 8" o:spid="_x0000_s1028" style="position:absolute;width:4679;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" fillcolor="#c00000" stroked="f">
                <v:textbox inset="2.88pt,2.88pt,2.88pt,2.88pt"/>
              </v:rect>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34784" w14:textId="39BE6E2A" w:rsidR="00A27D0F" w:rsidRDefault="00A27D0F">
    <w:pPr>
      <w:pStyle w:val="Header"/>
    </w:pPr>
    <w:r>
      <w:rPr>
        <w:noProof/>
        <w:lang w:eastAsia="en-AU"/>
      </w:rPr>
      <mc:AlternateContent>
        <mc:Choice Requires="wpg">
          <w:drawing>
            <wp:anchor distT="0" distB="0" distL="114300" distR="114300" simplePos="0" relativeHeight="251660800" behindDoc="0" locked="0" layoutInCell="1" allowOverlap="1" wp14:anchorId="59950FC8" wp14:editId="2A2DD730">
              <wp:simplePos x="0" y="0"/>
              <wp:positionH relativeFrom="column">
                <wp:posOffset>-590550</wp:posOffset>
              </wp:positionH>
              <wp:positionV relativeFrom="paragraph">
                <wp:posOffset>-305435</wp:posOffset>
              </wp:positionV>
              <wp:extent cx="7343775" cy="377190"/>
              <wp:effectExtent l="0" t="0" r="9525" b="3810"/>
              <wp:wrapNone/>
              <wp:docPr id="3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377190"/>
                        <a:chOff x="0" y="0"/>
                        <a:chExt cx="7343612" cy="377190"/>
                      </a:xfrm>
                    </wpg:grpSpPr>
                    <wps:wsp>
                      <wps:cNvPr id="306" name="Rectangle 7"/>
                      <wps:cNvSpPr>
                        <a:spLocks noChangeArrowheads="1"/>
                      </wps:cNvSpPr>
                      <wps:spPr bwMode="auto">
                        <a:xfrm>
                          <a:off x="467832" y="0"/>
                          <a:ext cx="6875780" cy="3771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307" name="Rectangle 8"/>
                      <wps:cNvSpPr>
                        <a:spLocks noChangeArrowheads="1"/>
                      </wps:cNvSpPr>
                      <wps:spPr bwMode="auto">
                        <a:xfrm>
                          <a:off x="0" y="0"/>
                          <a:ext cx="467995" cy="377190"/>
                        </a:xfrm>
                        <a:prstGeom prst="rect">
                          <a:avLst/>
                        </a:prstGeom>
                        <a:solidFill>
                          <a:srgbClr val="C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group w14:anchorId="45162F29" id="Group 3" o:spid="_x0000_s1026" style="position:absolute;margin-left:-46.5pt;margin-top:-24.05pt;width:578.25pt;height:29.7pt;z-index:251660800" coordsize="7343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">
              <v:rect id="Rectangle 7" o:spid="_x0000_s1027" style="position:absolute;left:4678;width:68758;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" fillcolor="#7f7f7f" stroked="f">
                <v:textbox inset="2.88pt,2.88pt,2.88pt,2.88pt"/>
              </v:rect>
              <v:rect id="Rectangle 8" o:spid="_x0000_s1028" style="position:absolute;width:4679;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" fillcolor="#c00000" stroked="f">
                <v:textbox inset="2.88pt,2.88pt,2.88pt,2.88pt"/>
              </v:rect>
            </v:group>
          </w:pict>
        </mc:Fallback>
      </mc:AlternateContent>
    </w:r>
  </w:p>
  <w:p w14:paraId="0EB90698" w14:textId="77777777" w:rsidR="00A27D0F" w:rsidRDefault="00A27D0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6ABF" w14:textId="15D0048F" w:rsidR="00A27D0F" w:rsidRDefault="00A27D0F">
    <w:pPr>
      <w:pStyle w:val="Header"/>
    </w:pPr>
    <w:r>
      <w:rPr>
        <w:noProof/>
        <w:lang w:eastAsia="en-AU"/>
      </w:rPr>
      <mc:AlternateContent>
        <mc:Choice Requires="wpg">
          <w:drawing>
            <wp:anchor distT="0" distB="0" distL="114300" distR="114300" simplePos="0" relativeHeight="251650048" behindDoc="0" locked="0" layoutInCell="1" allowOverlap="1" wp14:anchorId="684BAD53" wp14:editId="2E3E7CC1">
              <wp:simplePos x="0" y="0"/>
              <wp:positionH relativeFrom="column">
                <wp:posOffset>-580390</wp:posOffset>
              </wp:positionH>
              <wp:positionV relativeFrom="paragraph">
                <wp:posOffset>-291795</wp:posOffset>
              </wp:positionV>
              <wp:extent cx="7343775" cy="377190"/>
              <wp:effectExtent l="0" t="0" r="9525" b="3810"/>
              <wp:wrapNone/>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377190"/>
                        <a:chOff x="0" y="0"/>
                        <a:chExt cx="7343612" cy="377190"/>
                      </a:xfrm>
                    </wpg:grpSpPr>
                    <wps:wsp>
                      <wps:cNvPr id="35" name="Rectangle 7"/>
                      <wps:cNvSpPr>
                        <a:spLocks noChangeArrowheads="1"/>
                      </wps:cNvSpPr>
                      <wps:spPr bwMode="auto">
                        <a:xfrm>
                          <a:off x="467832" y="0"/>
                          <a:ext cx="6875780" cy="3771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36576" tIns="36576" rIns="36576" bIns="36576" anchor="t" anchorCtr="0" upright="1">
                        <a:noAutofit/>
                      </wps:bodyPr>
                    </wps:wsp>
                    <wps:wsp>
                      <wps:cNvPr id="36" name="Rectangle 8"/>
                      <wps:cNvSpPr>
                        <a:spLocks noChangeArrowheads="1"/>
                      </wps:cNvSpPr>
                      <wps:spPr bwMode="auto">
                        <a:xfrm>
                          <a:off x="0" y="0"/>
                          <a:ext cx="467995" cy="377190"/>
                        </a:xfrm>
                        <a:prstGeom prst="rect">
                          <a:avLst/>
                        </a:prstGeom>
                        <a:solidFill>
                          <a:srgbClr val="C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xmlns:mv="urn:schemas-microsoft-com:mac:vml" xmlns:mo="http://schemas.microsoft.com/office/mac/office/2008/main">
          <w:pict>
            <v:group w14:anchorId="5D113CF0" id="Group 3" o:spid="_x0000_s1026" style="position:absolute;margin-left:-45.7pt;margin-top:-23pt;width:578.25pt;height:29.7pt;z-index:251650048" coordsize="73436,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">
              <v:rect id="Rectangle 7" o:spid="_x0000_s1027" style="position:absolute;left:4678;width:68758;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" fillcolor="#7f7f7f" stroked="f">
                <v:textbox inset="2.88pt,2.88pt,2.88pt,2.88pt"/>
              </v:rect>
              <v:rect id="Rectangle 8" o:spid="_x0000_s1028" style="position:absolute;width:4679;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" fillcolor="#c00000" stroked="f">
                <v:textbox inset="2.88pt,2.88pt,2.88pt,2.88p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086"/>
    <w:multiLevelType w:val="hybridMultilevel"/>
    <w:tmpl w:val="35648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FF3359"/>
    <w:multiLevelType w:val="hybridMultilevel"/>
    <w:tmpl w:val="436E300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2F4602"/>
    <w:multiLevelType w:val="hybridMultilevel"/>
    <w:tmpl w:val="5D8416BA"/>
    <w:lvl w:ilvl="0" w:tplc="1D0A6AFC">
      <w:start w:val="1"/>
      <w:numFmt w:val="lowerLetter"/>
      <w:lvlText w:val="%1)"/>
      <w:lvlJc w:val="left"/>
      <w:pPr>
        <w:ind w:left="360" w:hanging="360"/>
      </w:pPr>
      <w:rPr>
        <w:rFonts w:asciiTheme="majorBidi" w:eastAsia="Times New Roman" w:hAnsiTheme="majorBidi" w:cstheme="maj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BA30BF6"/>
    <w:multiLevelType w:val="hybridMultilevel"/>
    <w:tmpl w:val="8E18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C2BE2"/>
    <w:multiLevelType w:val="hybridMultilevel"/>
    <w:tmpl w:val="526A1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1B1CAB"/>
    <w:multiLevelType w:val="hybridMultilevel"/>
    <w:tmpl w:val="26F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572C3"/>
    <w:multiLevelType w:val="hybridMultilevel"/>
    <w:tmpl w:val="1BAE45C0"/>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24002B"/>
    <w:multiLevelType w:val="hybridMultilevel"/>
    <w:tmpl w:val="23C6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241B8"/>
    <w:multiLevelType w:val="hybridMultilevel"/>
    <w:tmpl w:val="CE68FD84"/>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735626"/>
    <w:multiLevelType w:val="hybridMultilevel"/>
    <w:tmpl w:val="5810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8B7926"/>
    <w:multiLevelType w:val="hybridMultilevel"/>
    <w:tmpl w:val="0DD04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382D03"/>
    <w:multiLevelType w:val="hybridMultilevel"/>
    <w:tmpl w:val="7944C796"/>
    <w:lvl w:ilvl="0" w:tplc="FFC4BE2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01A1046"/>
    <w:multiLevelType w:val="hybridMultilevel"/>
    <w:tmpl w:val="D89A1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F09C8"/>
    <w:multiLevelType w:val="hybridMultilevel"/>
    <w:tmpl w:val="DD6E466E"/>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4845D49"/>
    <w:multiLevelType w:val="multilevel"/>
    <w:tmpl w:val="05E4546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67D13F2"/>
    <w:multiLevelType w:val="hybridMultilevel"/>
    <w:tmpl w:val="556A2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E21EE2"/>
    <w:multiLevelType w:val="hybridMultilevel"/>
    <w:tmpl w:val="014C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C24E70"/>
    <w:multiLevelType w:val="hybridMultilevel"/>
    <w:tmpl w:val="DC9615E4"/>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FE1355"/>
    <w:multiLevelType w:val="hybridMultilevel"/>
    <w:tmpl w:val="9570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51119F"/>
    <w:multiLevelType w:val="hybridMultilevel"/>
    <w:tmpl w:val="CC5A465C"/>
    <w:lvl w:ilvl="0" w:tplc="DC00B0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3D039E"/>
    <w:multiLevelType w:val="hybridMultilevel"/>
    <w:tmpl w:val="1486AB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BA65161"/>
    <w:multiLevelType w:val="hybridMultilevel"/>
    <w:tmpl w:val="5704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9F11C0"/>
    <w:multiLevelType w:val="hybridMultilevel"/>
    <w:tmpl w:val="71928CFE"/>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8A4C20"/>
    <w:multiLevelType w:val="hybridMultilevel"/>
    <w:tmpl w:val="4224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217F0E"/>
    <w:multiLevelType w:val="hybridMultilevel"/>
    <w:tmpl w:val="49A6D8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7BE641A"/>
    <w:multiLevelType w:val="hybridMultilevel"/>
    <w:tmpl w:val="4796D02A"/>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1065F"/>
    <w:multiLevelType w:val="hybridMultilevel"/>
    <w:tmpl w:val="2C32D804"/>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770762"/>
    <w:multiLevelType w:val="hybridMultilevel"/>
    <w:tmpl w:val="C2E45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2C10B5"/>
    <w:multiLevelType w:val="hybridMultilevel"/>
    <w:tmpl w:val="35648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37B33E3"/>
    <w:multiLevelType w:val="hybridMultilevel"/>
    <w:tmpl w:val="B8201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B2C19"/>
    <w:multiLevelType w:val="hybridMultilevel"/>
    <w:tmpl w:val="86420ED8"/>
    <w:lvl w:ilvl="0" w:tplc="630ACB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4D7452"/>
    <w:multiLevelType w:val="hybridMultilevel"/>
    <w:tmpl w:val="8C70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3F26D7"/>
    <w:multiLevelType w:val="hybridMultilevel"/>
    <w:tmpl w:val="E594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3682113"/>
    <w:multiLevelType w:val="hybridMultilevel"/>
    <w:tmpl w:val="443C3726"/>
    <w:lvl w:ilvl="0" w:tplc="AB2A00D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93298B"/>
    <w:multiLevelType w:val="hybridMultilevel"/>
    <w:tmpl w:val="C77C67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AEB6940"/>
    <w:multiLevelType w:val="hybridMultilevel"/>
    <w:tmpl w:val="0E58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497207"/>
    <w:multiLevelType w:val="hybridMultilevel"/>
    <w:tmpl w:val="96DA8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25"/>
  </w:num>
  <w:num w:numId="4">
    <w:abstractNumId w:val="17"/>
  </w:num>
  <w:num w:numId="5">
    <w:abstractNumId w:val="14"/>
  </w:num>
  <w:num w:numId="6">
    <w:abstractNumId w:val="29"/>
  </w:num>
  <w:num w:numId="7">
    <w:abstractNumId w:val="5"/>
  </w:num>
  <w:num w:numId="8">
    <w:abstractNumId w:val="8"/>
  </w:num>
  <w:num w:numId="9">
    <w:abstractNumId w:val="35"/>
  </w:num>
  <w:num w:numId="10">
    <w:abstractNumId w:val="31"/>
  </w:num>
  <w:num w:numId="11">
    <w:abstractNumId w:val="1"/>
  </w:num>
  <w:num w:numId="12">
    <w:abstractNumId w:val="33"/>
  </w:num>
  <w:num w:numId="13">
    <w:abstractNumId w:val="26"/>
  </w:num>
  <w:num w:numId="14">
    <w:abstractNumId w:val="36"/>
  </w:num>
  <w:num w:numId="15">
    <w:abstractNumId w:val="0"/>
  </w:num>
  <w:num w:numId="16">
    <w:abstractNumId w:val="28"/>
  </w:num>
  <w:num w:numId="17">
    <w:abstractNumId w:val="7"/>
  </w:num>
  <w:num w:numId="18">
    <w:abstractNumId w:val="10"/>
  </w:num>
  <w:num w:numId="19">
    <w:abstractNumId w:val="12"/>
  </w:num>
  <w:num w:numId="20">
    <w:abstractNumId w:val="4"/>
  </w:num>
  <w:num w:numId="21">
    <w:abstractNumId w:val="23"/>
  </w:num>
  <w:num w:numId="22">
    <w:abstractNumId w:val="32"/>
  </w:num>
  <w:num w:numId="23">
    <w:abstractNumId w:val="20"/>
  </w:num>
  <w:num w:numId="24">
    <w:abstractNumId w:val="34"/>
  </w:num>
  <w:num w:numId="25">
    <w:abstractNumId w:val="9"/>
  </w:num>
  <w:num w:numId="26">
    <w:abstractNumId w:val="11"/>
  </w:num>
  <w:num w:numId="27">
    <w:abstractNumId w:val="2"/>
  </w:num>
  <w:num w:numId="28">
    <w:abstractNumId w:val="24"/>
  </w:num>
  <w:num w:numId="29">
    <w:abstractNumId w:val="15"/>
  </w:num>
  <w:num w:numId="30">
    <w:abstractNumId w:val="27"/>
  </w:num>
  <w:num w:numId="31">
    <w:abstractNumId w:val="21"/>
  </w:num>
  <w:num w:numId="32">
    <w:abstractNumId w:val="19"/>
  </w:num>
  <w:num w:numId="33">
    <w:abstractNumId w:val="3"/>
  </w:num>
  <w:num w:numId="34">
    <w:abstractNumId w:val="30"/>
  </w:num>
  <w:num w:numId="35">
    <w:abstractNumId w:val="16"/>
  </w:num>
  <w:num w:numId="36">
    <w:abstractNumId w:val="18"/>
  </w:num>
  <w:num w:numId="37">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F0"/>
    <w:rsid w:val="00001583"/>
    <w:rsid w:val="00003B07"/>
    <w:rsid w:val="000041BE"/>
    <w:rsid w:val="00004D91"/>
    <w:rsid w:val="00010A76"/>
    <w:rsid w:val="00012234"/>
    <w:rsid w:val="00014429"/>
    <w:rsid w:val="00017FD4"/>
    <w:rsid w:val="00020867"/>
    <w:rsid w:val="00020DEA"/>
    <w:rsid w:val="00021CB5"/>
    <w:rsid w:val="00023FCC"/>
    <w:rsid w:val="00024946"/>
    <w:rsid w:val="00026C70"/>
    <w:rsid w:val="00030964"/>
    <w:rsid w:val="0003285E"/>
    <w:rsid w:val="00044D25"/>
    <w:rsid w:val="00044D7C"/>
    <w:rsid w:val="00050200"/>
    <w:rsid w:val="0005390E"/>
    <w:rsid w:val="000553E0"/>
    <w:rsid w:val="000554F7"/>
    <w:rsid w:val="00055655"/>
    <w:rsid w:val="00061A31"/>
    <w:rsid w:val="00062141"/>
    <w:rsid w:val="00062221"/>
    <w:rsid w:val="000654A2"/>
    <w:rsid w:val="00067E5B"/>
    <w:rsid w:val="00072F8A"/>
    <w:rsid w:val="000735ED"/>
    <w:rsid w:val="00074212"/>
    <w:rsid w:val="00075DE9"/>
    <w:rsid w:val="00082CE5"/>
    <w:rsid w:val="000872AE"/>
    <w:rsid w:val="00090E9B"/>
    <w:rsid w:val="000925E8"/>
    <w:rsid w:val="00095D7E"/>
    <w:rsid w:val="00097C9B"/>
    <w:rsid w:val="000A0330"/>
    <w:rsid w:val="000A356D"/>
    <w:rsid w:val="000A3AE8"/>
    <w:rsid w:val="000B12DD"/>
    <w:rsid w:val="000B173E"/>
    <w:rsid w:val="000B17F8"/>
    <w:rsid w:val="000B2347"/>
    <w:rsid w:val="000B3045"/>
    <w:rsid w:val="000C38A5"/>
    <w:rsid w:val="000C40EE"/>
    <w:rsid w:val="000C43B2"/>
    <w:rsid w:val="000D1CD0"/>
    <w:rsid w:val="000D32EA"/>
    <w:rsid w:val="000D5E87"/>
    <w:rsid w:val="000E0877"/>
    <w:rsid w:val="000E19C0"/>
    <w:rsid w:val="000E3525"/>
    <w:rsid w:val="000E6CC5"/>
    <w:rsid w:val="000E7E9F"/>
    <w:rsid w:val="000F1EA3"/>
    <w:rsid w:val="000F2EDC"/>
    <w:rsid w:val="000F4C31"/>
    <w:rsid w:val="000F6D72"/>
    <w:rsid w:val="000F7693"/>
    <w:rsid w:val="001007DA"/>
    <w:rsid w:val="00106D77"/>
    <w:rsid w:val="0010705D"/>
    <w:rsid w:val="00107AD9"/>
    <w:rsid w:val="00111372"/>
    <w:rsid w:val="001133FF"/>
    <w:rsid w:val="00120D18"/>
    <w:rsid w:val="00122C3F"/>
    <w:rsid w:val="00122D0F"/>
    <w:rsid w:val="001242E4"/>
    <w:rsid w:val="00124D52"/>
    <w:rsid w:val="0012749E"/>
    <w:rsid w:val="00130772"/>
    <w:rsid w:val="001340CD"/>
    <w:rsid w:val="00135EF9"/>
    <w:rsid w:val="0013736F"/>
    <w:rsid w:val="00140795"/>
    <w:rsid w:val="00143C95"/>
    <w:rsid w:val="0014768F"/>
    <w:rsid w:val="00151CF7"/>
    <w:rsid w:val="001531CC"/>
    <w:rsid w:val="00153241"/>
    <w:rsid w:val="00155DA6"/>
    <w:rsid w:val="001611A7"/>
    <w:rsid w:val="001639B5"/>
    <w:rsid w:val="00163B34"/>
    <w:rsid w:val="00165614"/>
    <w:rsid w:val="00165C6F"/>
    <w:rsid w:val="00166BC5"/>
    <w:rsid w:val="001726B6"/>
    <w:rsid w:val="00176424"/>
    <w:rsid w:val="00176D14"/>
    <w:rsid w:val="00180341"/>
    <w:rsid w:val="00181E8A"/>
    <w:rsid w:val="001831EE"/>
    <w:rsid w:val="00185C16"/>
    <w:rsid w:val="00190529"/>
    <w:rsid w:val="0019074D"/>
    <w:rsid w:val="00190F9C"/>
    <w:rsid w:val="00196D52"/>
    <w:rsid w:val="001A27DB"/>
    <w:rsid w:val="001B15C7"/>
    <w:rsid w:val="001B58F8"/>
    <w:rsid w:val="001B7E26"/>
    <w:rsid w:val="001C116E"/>
    <w:rsid w:val="001C20EE"/>
    <w:rsid w:val="001C4EB5"/>
    <w:rsid w:val="001D01F9"/>
    <w:rsid w:val="001D13EE"/>
    <w:rsid w:val="001D209E"/>
    <w:rsid w:val="001D4AED"/>
    <w:rsid w:val="001D4D0A"/>
    <w:rsid w:val="001D7A9B"/>
    <w:rsid w:val="001E1EC4"/>
    <w:rsid w:val="001F2DF8"/>
    <w:rsid w:val="001F4322"/>
    <w:rsid w:val="001F55AC"/>
    <w:rsid w:val="00200DE7"/>
    <w:rsid w:val="002040D6"/>
    <w:rsid w:val="00210E32"/>
    <w:rsid w:val="00215EC7"/>
    <w:rsid w:val="0021798F"/>
    <w:rsid w:val="002211D6"/>
    <w:rsid w:val="002214EC"/>
    <w:rsid w:val="002215C2"/>
    <w:rsid w:val="00221EEC"/>
    <w:rsid w:val="00230ED0"/>
    <w:rsid w:val="00232521"/>
    <w:rsid w:val="00235A7E"/>
    <w:rsid w:val="0023667F"/>
    <w:rsid w:val="00237713"/>
    <w:rsid w:val="0023774E"/>
    <w:rsid w:val="00237BCD"/>
    <w:rsid w:val="00241613"/>
    <w:rsid w:val="00244D90"/>
    <w:rsid w:val="0024531C"/>
    <w:rsid w:val="00250CA4"/>
    <w:rsid w:val="00255BC5"/>
    <w:rsid w:val="00256341"/>
    <w:rsid w:val="00256CA5"/>
    <w:rsid w:val="002668B3"/>
    <w:rsid w:val="00270C9D"/>
    <w:rsid w:val="00271B69"/>
    <w:rsid w:val="00276008"/>
    <w:rsid w:val="00277369"/>
    <w:rsid w:val="002813E4"/>
    <w:rsid w:val="00290B0D"/>
    <w:rsid w:val="00291615"/>
    <w:rsid w:val="002949F8"/>
    <w:rsid w:val="002954B4"/>
    <w:rsid w:val="002A470A"/>
    <w:rsid w:val="002A6494"/>
    <w:rsid w:val="002A75F5"/>
    <w:rsid w:val="002A7A9D"/>
    <w:rsid w:val="002B0364"/>
    <w:rsid w:val="002B138F"/>
    <w:rsid w:val="002B1659"/>
    <w:rsid w:val="002B21A6"/>
    <w:rsid w:val="002C1F48"/>
    <w:rsid w:val="002C28BF"/>
    <w:rsid w:val="002C3321"/>
    <w:rsid w:val="002C3931"/>
    <w:rsid w:val="002C747F"/>
    <w:rsid w:val="002D1D3F"/>
    <w:rsid w:val="002D305B"/>
    <w:rsid w:val="002D59AF"/>
    <w:rsid w:val="002D79A8"/>
    <w:rsid w:val="002E221D"/>
    <w:rsid w:val="002E25FD"/>
    <w:rsid w:val="002E5D1F"/>
    <w:rsid w:val="002E7ACC"/>
    <w:rsid w:val="002F0CFA"/>
    <w:rsid w:val="002F5CF8"/>
    <w:rsid w:val="002F734E"/>
    <w:rsid w:val="003001CE"/>
    <w:rsid w:val="0030059F"/>
    <w:rsid w:val="00306F69"/>
    <w:rsid w:val="00307090"/>
    <w:rsid w:val="0030784D"/>
    <w:rsid w:val="00310C58"/>
    <w:rsid w:val="00311519"/>
    <w:rsid w:val="0031265C"/>
    <w:rsid w:val="00317516"/>
    <w:rsid w:val="00320EBC"/>
    <w:rsid w:val="0033308E"/>
    <w:rsid w:val="00340CE8"/>
    <w:rsid w:val="00346804"/>
    <w:rsid w:val="003505A0"/>
    <w:rsid w:val="00354DAA"/>
    <w:rsid w:val="0035651C"/>
    <w:rsid w:val="00357FD5"/>
    <w:rsid w:val="00366816"/>
    <w:rsid w:val="003703AF"/>
    <w:rsid w:val="00370B5C"/>
    <w:rsid w:val="00374927"/>
    <w:rsid w:val="003862FE"/>
    <w:rsid w:val="003929B4"/>
    <w:rsid w:val="0039341C"/>
    <w:rsid w:val="0039445C"/>
    <w:rsid w:val="00396E59"/>
    <w:rsid w:val="0039730F"/>
    <w:rsid w:val="003B0CA3"/>
    <w:rsid w:val="003B2D93"/>
    <w:rsid w:val="003B3925"/>
    <w:rsid w:val="003B51D0"/>
    <w:rsid w:val="003B55B0"/>
    <w:rsid w:val="003B78A0"/>
    <w:rsid w:val="003B7DAC"/>
    <w:rsid w:val="003C1F36"/>
    <w:rsid w:val="003C4A89"/>
    <w:rsid w:val="003C5C80"/>
    <w:rsid w:val="003D148D"/>
    <w:rsid w:val="003D283B"/>
    <w:rsid w:val="003D62B0"/>
    <w:rsid w:val="003D7E0C"/>
    <w:rsid w:val="003E3FEC"/>
    <w:rsid w:val="003E6A3C"/>
    <w:rsid w:val="003E75F1"/>
    <w:rsid w:val="003F1702"/>
    <w:rsid w:val="003F323B"/>
    <w:rsid w:val="003F4BB6"/>
    <w:rsid w:val="003F5626"/>
    <w:rsid w:val="003F7EA1"/>
    <w:rsid w:val="004024F3"/>
    <w:rsid w:val="0040429F"/>
    <w:rsid w:val="004052EC"/>
    <w:rsid w:val="0040628E"/>
    <w:rsid w:val="004073F5"/>
    <w:rsid w:val="00412656"/>
    <w:rsid w:val="00412A52"/>
    <w:rsid w:val="00412B3C"/>
    <w:rsid w:val="00413E32"/>
    <w:rsid w:val="004149E7"/>
    <w:rsid w:val="0041516C"/>
    <w:rsid w:val="0041538C"/>
    <w:rsid w:val="004232B0"/>
    <w:rsid w:val="004252AE"/>
    <w:rsid w:val="00425944"/>
    <w:rsid w:val="00427784"/>
    <w:rsid w:val="00433B08"/>
    <w:rsid w:val="0043489E"/>
    <w:rsid w:val="004369A7"/>
    <w:rsid w:val="00446197"/>
    <w:rsid w:val="0044712C"/>
    <w:rsid w:val="0044797E"/>
    <w:rsid w:val="004501EA"/>
    <w:rsid w:val="00453BB5"/>
    <w:rsid w:val="00460210"/>
    <w:rsid w:val="00461A4D"/>
    <w:rsid w:val="004650CD"/>
    <w:rsid w:val="00470F1C"/>
    <w:rsid w:val="00475860"/>
    <w:rsid w:val="0047785E"/>
    <w:rsid w:val="00482E3E"/>
    <w:rsid w:val="00485296"/>
    <w:rsid w:val="00492DDE"/>
    <w:rsid w:val="00494D72"/>
    <w:rsid w:val="004A3975"/>
    <w:rsid w:val="004A40FA"/>
    <w:rsid w:val="004A51CE"/>
    <w:rsid w:val="004B2DBF"/>
    <w:rsid w:val="004B5421"/>
    <w:rsid w:val="004C05F1"/>
    <w:rsid w:val="004C1540"/>
    <w:rsid w:val="004C22C1"/>
    <w:rsid w:val="004C496E"/>
    <w:rsid w:val="004C5100"/>
    <w:rsid w:val="004C68D7"/>
    <w:rsid w:val="004D3F47"/>
    <w:rsid w:val="004D5E0B"/>
    <w:rsid w:val="004D673C"/>
    <w:rsid w:val="004E3C03"/>
    <w:rsid w:val="004E6BB5"/>
    <w:rsid w:val="004F0BF7"/>
    <w:rsid w:val="004F30C8"/>
    <w:rsid w:val="004F6198"/>
    <w:rsid w:val="00504615"/>
    <w:rsid w:val="005055FB"/>
    <w:rsid w:val="005075A8"/>
    <w:rsid w:val="00507DB9"/>
    <w:rsid w:val="00513EAB"/>
    <w:rsid w:val="00517482"/>
    <w:rsid w:val="00520007"/>
    <w:rsid w:val="00522D71"/>
    <w:rsid w:val="00523B26"/>
    <w:rsid w:val="00530E50"/>
    <w:rsid w:val="00532249"/>
    <w:rsid w:val="005333FE"/>
    <w:rsid w:val="005341E1"/>
    <w:rsid w:val="00536A37"/>
    <w:rsid w:val="005375C3"/>
    <w:rsid w:val="00540879"/>
    <w:rsid w:val="00540FA5"/>
    <w:rsid w:val="005425FE"/>
    <w:rsid w:val="00543959"/>
    <w:rsid w:val="005451DA"/>
    <w:rsid w:val="005472FA"/>
    <w:rsid w:val="005559D4"/>
    <w:rsid w:val="00557971"/>
    <w:rsid w:val="0056342E"/>
    <w:rsid w:val="00573ADD"/>
    <w:rsid w:val="005751F7"/>
    <w:rsid w:val="00582DC2"/>
    <w:rsid w:val="005854CC"/>
    <w:rsid w:val="00595106"/>
    <w:rsid w:val="005963C2"/>
    <w:rsid w:val="0059696B"/>
    <w:rsid w:val="005A3F81"/>
    <w:rsid w:val="005A5BBD"/>
    <w:rsid w:val="005B1A32"/>
    <w:rsid w:val="005B3587"/>
    <w:rsid w:val="005C1EF2"/>
    <w:rsid w:val="005C2712"/>
    <w:rsid w:val="005C5433"/>
    <w:rsid w:val="005D117F"/>
    <w:rsid w:val="005D22CA"/>
    <w:rsid w:val="005D2372"/>
    <w:rsid w:val="005D6A83"/>
    <w:rsid w:val="005E0B50"/>
    <w:rsid w:val="005E286E"/>
    <w:rsid w:val="005E301D"/>
    <w:rsid w:val="005E4AC0"/>
    <w:rsid w:val="005E7568"/>
    <w:rsid w:val="005F0CA2"/>
    <w:rsid w:val="005F13F4"/>
    <w:rsid w:val="005F5F77"/>
    <w:rsid w:val="0060237C"/>
    <w:rsid w:val="006055F4"/>
    <w:rsid w:val="006057B7"/>
    <w:rsid w:val="006057C2"/>
    <w:rsid w:val="0061053D"/>
    <w:rsid w:val="006117CF"/>
    <w:rsid w:val="00613E8D"/>
    <w:rsid w:val="00614413"/>
    <w:rsid w:val="00624C60"/>
    <w:rsid w:val="00625A3F"/>
    <w:rsid w:val="00633603"/>
    <w:rsid w:val="0065068D"/>
    <w:rsid w:val="006521A7"/>
    <w:rsid w:val="00652A9A"/>
    <w:rsid w:val="00655800"/>
    <w:rsid w:val="00656EEB"/>
    <w:rsid w:val="0065738F"/>
    <w:rsid w:val="0066071E"/>
    <w:rsid w:val="00663422"/>
    <w:rsid w:val="006653FA"/>
    <w:rsid w:val="00671AB0"/>
    <w:rsid w:val="006753FB"/>
    <w:rsid w:val="00675839"/>
    <w:rsid w:val="00682FF5"/>
    <w:rsid w:val="006830DD"/>
    <w:rsid w:val="006833EB"/>
    <w:rsid w:val="00684A1D"/>
    <w:rsid w:val="00685D72"/>
    <w:rsid w:val="00686563"/>
    <w:rsid w:val="00691471"/>
    <w:rsid w:val="00692707"/>
    <w:rsid w:val="006931F6"/>
    <w:rsid w:val="00693C1F"/>
    <w:rsid w:val="006964CA"/>
    <w:rsid w:val="006A0FD3"/>
    <w:rsid w:val="006A1618"/>
    <w:rsid w:val="006A48C2"/>
    <w:rsid w:val="006A5A9F"/>
    <w:rsid w:val="006A5E5E"/>
    <w:rsid w:val="006B3801"/>
    <w:rsid w:val="006B3FDD"/>
    <w:rsid w:val="006C038D"/>
    <w:rsid w:val="006C6C57"/>
    <w:rsid w:val="006D2038"/>
    <w:rsid w:val="006D2DFF"/>
    <w:rsid w:val="006D2E2E"/>
    <w:rsid w:val="006D6BA7"/>
    <w:rsid w:val="006F0BF7"/>
    <w:rsid w:val="006F0F65"/>
    <w:rsid w:val="006F3220"/>
    <w:rsid w:val="006F386C"/>
    <w:rsid w:val="006F4658"/>
    <w:rsid w:val="006F49F6"/>
    <w:rsid w:val="006F7786"/>
    <w:rsid w:val="00703E79"/>
    <w:rsid w:val="00705555"/>
    <w:rsid w:val="007077EA"/>
    <w:rsid w:val="00710EC5"/>
    <w:rsid w:val="007125DA"/>
    <w:rsid w:val="007131B3"/>
    <w:rsid w:val="00713445"/>
    <w:rsid w:val="00713C83"/>
    <w:rsid w:val="00716665"/>
    <w:rsid w:val="007167EA"/>
    <w:rsid w:val="00717A15"/>
    <w:rsid w:val="00720B71"/>
    <w:rsid w:val="00724D76"/>
    <w:rsid w:val="00727A54"/>
    <w:rsid w:val="00730C7B"/>
    <w:rsid w:val="0074166A"/>
    <w:rsid w:val="00746251"/>
    <w:rsid w:val="007531C6"/>
    <w:rsid w:val="007539F2"/>
    <w:rsid w:val="007567D8"/>
    <w:rsid w:val="00756E55"/>
    <w:rsid w:val="0075761C"/>
    <w:rsid w:val="00762C17"/>
    <w:rsid w:val="00763449"/>
    <w:rsid w:val="0076697D"/>
    <w:rsid w:val="007700C4"/>
    <w:rsid w:val="00774436"/>
    <w:rsid w:val="007814D5"/>
    <w:rsid w:val="0078243A"/>
    <w:rsid w:val="00783D53"/>
    <w:rsid w:val="00785858"/>
    <w:rsid w:val="00785E55"/>
    <w:rsid w:val="00786023"/>
    <w:rsid w:val="00793BE5"/>
    <w:rsid w:val="00795F5E"/>
    <w:rsid w:val="007A1CFB"/>
    <w:rsid w:val="007B2EF3"/>
    <w:rsid w:val="007C1BEB"/>
    <w:rsid w:val="007C2B43"/>
    <w:rsid w:val="007C75BA"/>
    <w:rsid w:val="007D41DC"/>
    <w:rsid w:val="007D4337"/>
    <w:rsid w:val="007D44CF"/>
    <w:rsid w:val="007E28F6"/>
    <w:rsid w:val="007F3A28"/>
    <w:rsid w:val="007F4E31"/>
    <w:rsid w:val="007F719E"/>
    <w:rsid w:val="007F7A49"/>
    <w:rsid w:val="0080462A"/>
    <w:rsid w:val="00806F53"/>
    <w:rsid w:val="0081147F"/>
    <w:rsid w:val="00811A36"/>
    <w:rsid w:val="0081315B"/>
    <w:rsid w:val="00815B03"/>
    <w:rsid w:val="00817138"/>
    <w:rsid w:val="008172B8"/>
    <w:rsid w:val="008173E1"/>
    <w:rsid w:val="008242E2"/>
    <w:rsid w:val="00825562"/>
    <w:rsid w:val="00826E31"/>
    <w:rsid w:val="00826FD1"/>
    <w:rsid w:val="00840461"/>
    <w:rsid w:val="008443A6"/>
    <w:rsid w:val="00845D81"/>
    <w:rsid w:val="00845FDF"/>
    <w:rsid w:val="008514B2"/>
    <w:rsid w:val="00853278"/>
    <w:rsid w:val="00853D96"/>
    <w:rsid w:val="00855BCA"/>
    <w:rsid w:val="0085690A"/>
    <w:rsid w:val="008608B5"/>
    <w:rsid w:val="00861FCE"/>
    <w:rsid w:val="0086278E"/>
    <w:rsid w:val="008653E6"/>
    <w:rsid w:val="008701E6"/>
    <w:rsid w:val="008755FA"/>
    <w:rsid w:val="00884204"/>
    <w:rsid w:val="008879EC"/>
    <w:rsid w:val="00887E75"/>
    <w:rsid w:val="008942B5"/>
    <w:rsid w:val="00895AFE"/>
    <w:rsid w:val="00897339"/>
    <w:rsid w:val="008A0D26"/>
    <w:rsid w:val="008A170F"/>
    <w:rsid w:val="008A2F4E"/>
    <w:rsid w:val="008A392C"/>
    <w:rsid w:val="008A72BE"/>
    <w:rsid w:val="008B2BF2"/>
    <w:rsid w:val="008B7C62"/>
    <w:rsid w:val="008C224B"/>
    <w:rsid w:val="008C435A"/>
    <w:rsid w:val="008C47C5"/>
    <w:rsid w:val="008D0EEB"/>
    <w:rsid w:val="008D40BC"/>
    <w:rsid w:val="008E13AF"/>
    <w:rsid w:val="008E1786"/>
    <w:rsid w:val="008F0972"/>
    <w:rsid w:val="008F189D"/>
    <w:rsid w:val="008F3F91"/>
    <w:rsid w:val="008F42DC"/>
    <w:rsid w:val="008F45C3"/>
    <w:rsid w:val="00904F76"/>
    <w:rsid w:val="009102D7"/>
    <w:rsid w:val="00912BC5"/>
    <w:rsid w:val="00916137"/>
    <w:rsid w:val="00916B80"/>
    <w:rsid w:val="009224F2"/>
    <w:rsid w:val="009238F1"/>
    <w:rsid w:val="00934AD6"/>
    <w:rsid w:val="00937EBD"/>
    <w:rsid w:val="009409BF"/>
    <w:rsid w:val="00942A81"/>
    <w:rsid w:val="00945853"/>
    <w:rsid w:val="009546E0"/>
    <w:rsid w:val="009561F6"/>
    <w:rsid w:val="00956995"/>
    <w:rsid w:val="00957552"/>
    <w:rsid w:val="00960163"/>
    <w:rsid w:val="00961DBF"/>
    <w:rsid w:val="00963D18"/>
    <w:rsid w:val="00963FFE"/>
    <w:rsid w:val="00964335"/>
    <w:rsid w:val="009657AE"/>
    <w:rsid w:val="00971B34"/>
    <w:rsid w:val="00972EE8"/>
    <w:rsid w:val="00973ABA"/>
    <w:rsid w:val="00977F61"/>
    <w:rsid w:val="009814CF"/>
    <w:rsid w:val="00981D03"/>
    <w:rsid w:val="009826DB"/>
    <w:rsid w:val="00983331"/>
    <w:rsid w:val="009859E7"/>
    <w:rsid w:val="00987982"/>
    <w:rsid w:val="00991A72"/>
    <w:rsid w:val="0099289A"/>
    <w:rsid w:val="009A0C72"/>
    <w:rsid w:val="009A182F"/>
    <w:rsid w:val="009A33FB"/>
    <w:rsid w:val="009A56B1"/>
    <w:rsid w:val="009A7F3B"/>
    <w:rsid w:val="009B0669"/>
    <w:rsid w:val="009B213D"/>
    <w:rsid w:val="009B293E"/>
    <w:rsid w:val="009B4192"/>
    <w:rsid w:val="009B6D5B"/>
    <w:rsid w:val="009C7904"/>
    <w:rsid w:val="009D0A43"/>
    <w:rsid w:val="009E0595"/>
    <w:rsid w:val="009E6ABD"/>
    <w:rsid w:val="009F6269"/>
    <w:rsid w:val="00A00519"/>
    <w:rsid w:val="00A038E9"/>
    <w:rsid w:val="00A11CB3"/>
    <w:rsid w:val="00A14193"/>
    <w:rsid w:val="00A1625D"/>
    <w:rsid w:val="00A21083"/>
    <w:rsid w:val="00A215BD"/>
    <w:rsid w:val="00A277F9"/>
    <w:rsid w:val="00A27D0F"/>
    <w:rsid w:val="00A361CE"/>
    <w:rsid w:val="00A377C1"/>
    <w:rsid w:val="00A44B87"/>
    <w:rsid w:val="00A5028E"/>
    <w:rsid w:val="00A50686"/>
    <w:rsid w:val="00A52870"/>
    <w:rsid w:val="00A55AA3"/>
    <w:rsid w:val="00A62B65"/>
    <w:rsid w:val="00A7079F"/>
    <w:rsid w:val="00A70FA0"/>
    <w:rsid w:val="00A71531"/>
    <w:rsid w:val="00A736C3"/>
    <w:rsid w:val="00A815FD"/>
    <w:rsid w:val="00A84493"/>
    <w:rsid w:val="00A912A2"/>
    <w:rsid w:val="00A95414"/>
    <w:rsid w:val="00AA0DFE"/>
    <w:rsid w:val="00AA2106"/>
    <w:rsid w:val="00AA39C9"/>
    <w:rsid w:val="00AA6150"/>
    <w:rsid w:val="00AB1341"/>
    <w:rsid w:val="00AB2305"/>
    <w:rsid w:val="00AB254F"/>
    <w:rsid w:val="00AB25A2"/>
    <w:rsid w:val="00AB3C61"/>
    <w:rsid w:val="00AB4EE9"/>
    <w:rsid w:val="00AB6044"/>
    <w:rsid w:val="00AC0F28"/>
    <w:rsid w:val="00AC3365"/>
    <w:rsid w:val="00AC4347"/>
    <w:rsid w:val="00AC52C0"/>
    <w:rsid w:val="00AC59A5"/>
    <w:rsid w:val="00AD03E9"/>
    <w:rsid w:val="00AD1D17"/>
    <w:rsid w:val="00AD2800"/>
    <w:rsid w:val="00AE0003"/>
    <w:rsid w:val="00AE27C0"/>
    <w:rsid w:val="00AF6FD4"/>
    <w:rsid w:val="00B07424"/>
    <w:rsid w:val="00B10D81"/>
    <w:rsid w:val="00B112AD"/>
    <w:rsid w:val="00B142BD"/>
    <w:rsid w:val="00B145B2"/>
    <w:rsid w:val="00B166CC"/>
    <w:rsid w:val="00B231DF"/>
    <w:rsid w:val="00B24482"/>
    <w:rsid w:val="00B24623"/>
    <w:rsid w:val="00B24FDA"/>
    <w:rsid w:val="00B25F07"/>
    <w:rsid w:val="00B262B3"/>
    <w:rsid w:val="00B3101B"/>
    <w:rsid w:val="00B36FBE"/>
    <w:rsid w:val="00B37FE2"/>
    <w:rsid w:val="00B4152B"/>
    <w:rsid w:val="00B420DE"/>
    <w:rsid w:val="00B42673"/>
    <w:rsid w:val="00B43EAD"/>
    <w:rsid w:val="00B43F14"/>
    <w:rsid w:val="00B476A3"/>
    <w:rsid w:val="00B52CBB"/>
    <w:rsid w:val="00B6003D"/>
    <w:rsid w:val="00B621A1"/>
    <w:rsid w:val="00B67386"/>
    <w:rsid w:val="00B7643D"/>
    <w:rsid w:val="00B81711"/>
    <w:rsid w:val="00B831A1"/>
    <w:rsid w:val="00B87301"/>
    <w:rsid w:val="00B87E88"/>
    <w:rsid w:val="00BA0820"/>
    <w:rsid w:val="00BA1D38"/>
    <w:rsid w:val="00BA50BD"/>
    <w:rsid w:val="00BA5D25"/>
    <w:rsid w:val="00BA7843"/>
    <w:rsid w:val="00BB1349"/>
    <w:rsid w:val="00BB458B"/>
    <w:rsid w:val="00BB48E6"/>
    <w:rsid w:val="00BB7287"/>
    <w:rsid w:val="00BC21C0"/>
    <w:rsid w:val="00BD1F76"/>
    <w:rsid w:val="00BD71B9"/>
    <w:rsid w:val="00BE0B84"/>
    <w:rsid w:val="00BE3AE9"/>
    <w:rsid w:val="00BF2CBA"/>
    <w:rsid w:val="00BF51EF"/>
    <w:rsid w:val="00C00CF4"/>
    <w:rsid w:val="00C016DF"/>
    <w:rsid w:val="00C01D6A"/>
    <w:rsid w:val="00C03E72"/>
    <w:rsid w:val="00C05866"/>
    <w:rsid w:val="00C10F1A"/>
    <w:rsid w:val="00C11FEE"/>
    <w:rsid w:val="00C242A2"/>
    <w:rsid w:val="00C24D85"/>
    <w:rsid w:val="00C31F8D"/>
    <w:rsid w:val="00C33463"/>
    <w:rsid w:val="00C405B5"/>
    <w:rsid w:val="00C46228"/>
    <w:rsid w:val="00C46DB8"/>
    <w:rsid w:val="00C53961"/>
    <w:rsid w:val="00C540A2"/>
    <w:rsid w:val="00C61213"/>
    <w:rsid w:val="00C62334"/>
    <w:rsid w:val="00C64B1F"/>
    <w:rsid w:val="00C66C35"/>
    <w:rsid w:val="00C73B67"/>
    <w:rsid w:val="00C74610"/>
    <w:rsid w:val="00C752DA"/>
    <w:rsid w:val="00C75935"/>
    <w:rsid w:val="00C80596"/>
    <w:rsid w:val="00C84EC2"/>
    <w:rsid w:val="00C86BDB"/>
    <w:rsid w:val="00C870BB"/>
    <w:rsid w:val="00C9190E"/>
    <w:rsid w:val="00C970A2"/>
    <w:rsid w:val="00CA2193"/>
    <w:rsid w:val="00CA237F"/>
    <w:rsid w:val="00CA3EEA"/>
    <w:rsid w:val="00CB229D"/>
    <w:rsid w:val="00CB4D9A"/>
    <w:rsid w:val="00CB6617"/>
    <w:rsid w:val="00CB6A25"/>
    <w:rsid w:val="00CC06BC"/>
    <w:rsid w:val="00CC1140"/>
    <w:rsid w:val="00CC6BF5"/>
    <w:rsid w:val="00CD28D7"/>
    <w:rsid w:val="00CD7157"/>
    <w:rsid w:val="00CE024B"/>
    <w:rsid w:val="00CE6CFF"/>
    <w:rsid w:val="00CF0E3F"/>
    <w:rsid w:val="00CF0F21"/>
    <w:rsid w:val="00CF133A"/>
    <w:rsid w:val="00CF1BF1"/>
    <w:rsid w:val="00CF304B"/>
    <w:rsid w:val="00CF3AA1"/>
    <w:rsid w:val="00CF471E"/>
    <w:rsid w:val="00CF5042"/>
    <w:rsid w:val="00CF566D"/>
    <w:rsid w:val="00CF756F"/>
    <w:rsid w:val="00CF797E"/>
    <w:rsid w:val="00D00A68"/>
    <w:rsid w:val="00D054F0"/>
    <w:rsid w:val="00D10127"/>
    <w:rsid w:val="00D1267E"/>
    <w:rsid w:val="00D157C4"/>
    <w:rsid w:val="00D169B7"/>
    <w:rsid w:val="00D20203"/>
    <w:rsid w:val="00D2087F"/>
    <w:rsid w:val="00D24D3F"/>
    <w:rsid w:val="00D26856"/>
    <w:rsid w:val="00D26FD3"/>
    <w:rsid w:val="00D32006"/>
    <w:rsid w:val="00D333FB"/>
    <w:rsid w:val="00D454BC"/>
    <w:rsid w:val="00D524D5"/>
    <w:rsid w:val="00D54FEF"/>
    <w:rsid w:val="00D55FBA"/>
    <w:rsid w:val="00D57559"/>
    <w:rsid w:val="00D61F1D"/>
    <w:rsid w:val="00D61F38"/>
    <w:rsid w:val="00D6698B"/>
    <w:rsid w:val="00D72692"/>
    <w:rsid w:val="00D75E61"/>
    <w:rsid w:val="00D82C1B"/>
    <w:rsid w:val="00D83AFB"/>
    <w:rsid w:val="00D84037"/>
    <w:rsid w:val="00D85B5F"/>
    <w:rsid w:val="00D87460"/>
    <w:rsid w:val="00D92480"/>
    <w:rsid w:val="00D941A3"/>
    <w:rsid w:val="00D94E2C"/>
    <w:rsid w:val="00D97131"/>
    <w:rsid w:val="00DA6503"/>
    <w:rsid w:val="00DB29A9"/>
    <w:rsid w:val="00DB434D"/>
    <w:rsid w:val="00DB5D22"/>
    <w:rsid w:val="00DB60C4"/>
    <w:rsid w:val="00DC2734"/>
    <w:rsid w:val="00DD1047"/>
    <w:rsid w:val="00DD2DF4"/>
    <w:rsid w:val="00DD47B7"/>
    <w:rsid w:val="00DD4DEF"/>
    <w:rsid w:val="00DD6644"/>
    <w:rsid w:val="00DE26AC"/>
    <w:rsid w:val="00DE434C"/>
    <w:rsid w:val="00DE4F3C"/>
    <w:rsid w:val="00DF1BB2"/>
    <w:rsid w:val="00DF6339"/>
    <w:rsid w:val="00DF6E45"/>
    <w:rsid w:val="00E0087D"/>
    <w:rsid w:val="00E020F3"/>
    <w:rsid w:val="00E02FCC"/>
    <w:rsid w:val="00E12235"/>
    <w:rsid w:val="00E12523"/>
    <w:rsid w:val="00E12680"/>
    <w:rsid w:val="00E129A5"/>
    <w:rsid w:val="00E171E7"/>
    <w:rsid w:val="00E25110"/>
    <w:rsid w:val="00E30E25"/>
    <w:rsid w:val="00E324A3"/>
    <w:rsid w:val="00E348C7"/>
    <w:rsid w:val="00E36594"/>
    <w:rsid w:val="00E458EF"/>
    <w:rsid w:val="00E47968"/>
    <w:rsid w:val="00E51FA9"/>
    <w:rsid w:val="00E63F3C"/>
    <w:rsid w:val="00E6794B"/>
    <w:rsid w:val="00E704E3"/>
    <w:rsid w:val="00E72BE4"/>
    <w:rsid w:val="00E80330"/>
    <w:rsid w:val="00E814C4"/>
    <w:rsid w:val="00E81701"/>
    <w:rsid w:val="00E901FC"/>
    <w:rsid w:val="00E94A11"/>
    <w:rsid w:val="00EA19E9"/>
    <w:rsid w:val="00EA233B"/>
    <w:rsid w:val="00EA250E"/>
    <w:rsid w:val="00EA4E4D"/>
    <w:rsid w:val="00EA566D"/>
    <w:rsid w:val="00EA765B"/>
    <w:rsid w:val="00EB132A"/>
    <w:rsid w:val="00EB1FFD"/>
    <w:rsid w:val="00EC2894"/>
    <w:rsid w:val="00ED2677"/>
    <w:rsid w:val="00ED2F34"/>
    <w:rsid w:val="00ED7995"/>
    <w:rsid w:val="00EE0722"/>
    <w:rsid w:val="00EE1646"/>
    <w:rsid w:val="00EE2D5F"/>
    <w:rsid w:val="00EE4EE2"/>
    <w:rsid w:val="00EE6F86"/>
    <w:rsid w:val="00EF63AD"/>
    <w:rsid w:val="00EF6F68"/>
    <w:rsid w:val="00F03A08"/>
    <w:rsid w:val="00F05965"/>
    <w:rsid w:val="00F063CE"/>
    <w:rsid w:val="00F1368D"/>
    <w:rsid w:val="00F20CC3"/>
    <w:rsid w:val="00F27906"/>
    <w:rsid w:val="00F31891"/>
    <w:rsid w:val="00F31BAA"/>
    <w:rsid w:val="00F32A08"/>
    <w:rsid w:val="00F36329"/>
    <w:rsid w:val="00F368AF"/>
    <w:rsid w:val="00F36FE8"/>
    <w:rsid w:val="00F42D33"/>
    <w:rsid w:val="00F4594C"/>
    <w:rsid w:val="00F47F83"/>
    <w:rsid w:val="00F5171A"/>
    <w:rsid w:val="00F51F6F"/>
    <w:rsid w:val="00F528DB"/>
    <w:rsid w:val="00F54A3F"/>
    <w:rsid w:val="00F54F6D"/>
    <w:rsid w:val="00F65473"/>
    <w:rsid w:val="00F65D49"/>
    <w:rsid w:val="00F6778A"/>
    <w:rsid w:val="00F70F0E"/>
    <w:rsid w:val="00F71611"/>
    <w:rsid w:val="00F80249"/>
    <w:rsid w:val="00F80CBF"/>
    <w:rsid w:val="00F80FF7"/>
    <w:rsid w:val="00F85112"/>
    <w:rsid w:val="00F85CCA"/>
    <w:rsid w:val="00F86E17"/>
    <w:rsid w:val="00F878A7"/>
    <w:rsid w:val="00F90A86"/>
    <w:rsid w:val="00F91E7B"/>
    <w:rsid w:val="00F95445"/>
    <w:rsid w:val="00F96C07"/>
    <w:rsid w:val="00FA227D"/>
    <w:rsid w:val="00FB0AC7"/>
    <w:rsid w:val="00FB0D65"/>
    <w:rsid w:val="00FB0DB6"/>
    <w:rsid w:val="00FB33D6"/>
    <w:rsid w:val="00FB4E55"/>
    <w:rsid w:val="00FC018A"/>
    <w:rsid w:val="00FC0FB6"/>
    <w:rsid w:val="00FC3A84"/>
    <w:rsid w:val="00FC41C9"/>
    <w:rsid w:val="00FD6865"/>
    <w:rsid w:val="00FD7BD5"/>
    <w:rsid w:val="00FE14B7"/>
    <w:rsid w:val="00FF2821"/>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B3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F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34AD6"/>
    <w:pPr>
      <w:keepNext/>
      <w:keepLines/>
      <w:spacing w:before="480" w:after="240"/>
      <w:jc w:val="center"/>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nhideWhenUsed/>
    <w:qFormat/>
    <w:rsid w:val="00934AD6"/>
    <w:pPr>
      <w:keepNext/>
      <w:keepLines/>
      <w:spacing w:before="200" w:after="12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B25F07"/>
    <w:pPr>
      <w:keepNext/>
      <w:keepLines/>
      <w:spacing w:before="200" w:after="240"/>
      <w:outlineLvl w:val="2"/>
    </w:pPr>
    <w:rPr>
      <w:rFonts w:ascii="Arial" w:eastAsiaTheme="majorEastAsia" w:hAnsi="Arial" w:cstheme="majorBidi"/>
      <w:b/>
      <w:bCs/>
      <w:i/>
      <w:color w:val="1F497D" w:themeColor="text2"/>
      <w:sz w:val="24"/>
    </w:rPr>
  </w:style>
  <w:style w:type="paragraph" w:styleId="Heading4">
    <w:name w:val="heading 4"/>
    <w:basedOn w:val="Normal"/>
    <w:next w:val="Normal"/>
    <w:link w:val="Heading4Char"/>
    <w:uiPriority w:val="9"/>
    <w:unhideWhenUsed/>
    <w:qFormat/>
    <w:rsid w:val="00934AD6"/>
    <w:pPr>
      <w:keepNext/>
      <w:keepLines/>
      <w:spacing w:before="200" w:after="120"/>
      <w:outlineLvl w:val="3"/>
    </w:pPr>
    <w:rPr>
      <w:rFonts w:ascii="Arial" w:eastAsiaTheme="majorEastAsia" w:hAnsi="Arial"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D54FE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4F0"/>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D054F0"/>
    <w:pPr>
      <w:spacing w:after="100" w:afterAutospacing="1" w:line="288" w:lineRule="atLeast"/>
    </w:pPr>
    <w:rPr>
      <w:rFonts w:ascii="Helvetica" w:hAnsi="Helvetica"/>
      <w:sz w:val="22"/>
      <w:szCs w:val="22"/>
      <w:lang w:eastAsia="en-AU"/>
    </w:rPr>
  </w:style>
  <w:style w:type="paragraph" w:styleId="Header">
    <w:name w:val="header"/>
    <w:basedOn w:val="Normal"/>
    <w:link w:val="HeaderChar"/>
    <w:unhideWhenUsed/>
    <w:rsid w:val="003F7EA1"/>
    <w:pPr>
      <w:tabs>
        <w:tab w:val="center" w:pos="4513"/>
        <w:tab w:val="right" w:pos="9026"/>
      </w:tabs>
    </w:pPr>
  </w:style>
  <w:style w:type="character" w:customStyle="1" w:styleId="HeaderChar">
    <w:name w:val="Header Char"/>
    <w:basedOn w:val="DefaultParagraphFont"/>
    <w:link w:val="Header"/>
    <w:rsid w:val="003F7EA1"/>
    <w:rPr>
      <w:rFonts w:ascii="Times New Roman" w:eastAsia="Times New Roman" w:hAnsi="Times New Roman" w:cs="Times New Roman"/>
      <w:sz w:val="20"/>
      <w:szCs w:val="20"/>
    </w:rPr>
  </w:style>
  <w:style w:type="paragraph" w:styleId="Footer">
    <w:name w:val="footer"/>
    <w:basedOn w:val="Normal"/>
    <w:link w:val="FooterChar"/>
    <w:unhideWhenUsed/>
    <w:rsid w:val="003F7EA1"/>
    <w:pPr>
      <w:tabs>
        <w:tab w:val="center" w:pos="4513"/>
        <w:tab w:val="right" w:pos="9026"/>
      </w:tabs>
    </w:pPr>
  </w:style>
  <w:style w:type="character" w:customStyle="1" w:styleId="FooterChar">
    <w:name w:val="Footer Char"/>
    <w:basedOn w:val="DefaultParagraphFont"/>
    <w:link w:val="Footer"/>
    <w:uiPriority w:val="99"/>
    <w:rsid w:val="003F7EA1"/>
    <w:rPr>
      <w:rFonts w:ascii="Times New Roman" w:eastAsia="Times New Roman" w:hAnsi="Times New Roman" w:cs="Times New Roman"/>
      <w:sz w:val="20"/>
      <w:szCs w:val="20"/>
    </w:rPr>
  </w:style>
  <w:style w:type="table" w:styleId="TableGrid">
    <w:name w:val="Table Grid"/>
    <w:basedOn w:val="TableNormal"/>
    <w:uiPriority w:val="39"/>
    <w:rsid w:val="0098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D5E87"/>
    <w:rPr>
      <w:rFonts w:ascii="Tahoma" w:hAnsi="Tahoma" w:cs="Tahoma"/>
      <w:sz w:val="16"/>
      <w:szCs w:val="16"/>
    </w:rPr>
  </w:style>
  <w:style w:type="character" w:customStyle="1" w:styleId="BalloonTextChar">
    <w:name w:val="Balloon Text Char"/>
    <w:basedOn w:val="DefaultParagraphFont"/>
    <w:link w:val="BalloonText"/>
    <w:rsid w:val="000D5E87"/>
    <w:rPr>
      <w:rFonts w:ascii="Tahoma" w:eastAsia="Times New Roman" w:hAnsi="Tahoma" w:cs="Tahoma"/>
      <w:sz w:val="16"/>
      <w:szCs w:val="16"/>
    </w:rPr>
  </w:style>
  <w:style w:type="character" w:styleId="CommentReference">
    <w:name w:val="annotation reference"/>
    <w:basedOn w:val="DefaultParagraphFont"/>
    <w:unhideWhenUsed/>
    <w:rsid w:val="00B87301"/>
    <w:rPr>
      <w:sz w:val="16"/>
      <w:szCs w:val="16"/>
    </w:rPr>
  </w:style>
  <w:style w:type="paragraph" w:styleId="CommentText">
    <w:name w:val="annotation text"/>
    <w:basedOn w:val="Normal"/>
    <w:link w:val="CommentTextChar"/>
    <w:unhideWhenUsed/>
    <w:rsid w:val="00B87301"/>
  </w:style>
  <w:style w:type="character" w:customStyle="1" w:styleId="CommentTextChar">
    <w:name w:val="Comment Text Char"/>
    <w:basedOn w:val="DefaultParagraphFont"/>
    <w:link w:val="CommentText"/>
    <w:rsid w:val="00B873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B87301"/>
    <w:rPr>
      <w:b/>
      <w:bCs/>
    </w:rPr>
  </w:style>
  <w:style w:type="character" w:customStyle="1" w:styleId="CommentSubjectChar">
    <w:name w:val="Comment Subject Char"/>
    <w:basedOn w:val="CommentTextChar"/>
    <w:link w:val="CommentSubject"/>
    <w:rsid w:val="00B87301"/>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2B138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B138F"/>
    <w:rPr>
      <w:rFonts w:ascii="Calibri" w:hAnsi="Calibri"/>
      <w:szCs w:val="21"/>
    </w:rPr>
  </w:style>
  <w:style w:type="paragraph" w:styleId="Caption">
    <w:name w:val="caption"/>
    <w:basedOn w:val="Normal"/>
    <w:next w:val="Normal"/>
    <w:uiPriority w:val="35"/>
    <w:unhideWhenUsed/>
    <w:qFormat/>
    <w:rsid w:val="00652A9A"/>
    <w:pPr>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rsid w:val="00934AD6"/>
    <w:rPr>
      <w:rFonts w:ascii="Arial" w:eastAsiaTheme="majorEastAsia" w:hAnsi="Arial" w:cstheme="majorBidi"/>
      <w:b/>
      <w:bCs/>
      <w:color w:val="365F91" w:themeColor="accent1" w:themeShade="BF"/>
      <w:sz w:val="24"/>
      <w:szCs w:val="28"/>
    </w:rPr>
  </w:style>
  <w:style w:type="paragraph" w:styleId="TOCHeading">
    <w:name w:val="TOC Heading"/>
    <w:basedOn w:val="Heading1"/>
    <w:next w:val="Normal"/>
    <w:uiPriority w:val="39"/>
    <w:unhideWhenUsed/>
    <w:qFormat/>
    <w:rsid w:val="00396E59"/>
    <w:pPr>
      <w:spacing w:line="276" w:lineRule="auto"/>
      <w:outlineLvl w:val="9"/>
    </w:pPr>
    <w:rPr>
      <w:lang w:val="en-US" w:eastAsia="ja-JP"/>
    </w:rPr>
  </w:style>
  <w:style w:type="character" w:customStyle="1" w:styleId="Heading2Char">
    <w:name w:val="Heading 2 Char"/>
    <w:basedOn w:val="DefaultParagraphFont"/>
    <w:link w:val="Heading2"/>
    <w:rsid w:val="00934AD6"/>
    <w:rPr>
      <w:rFonts w:ascii="Arial" w:eastAsiaTheme="majorEastAsia" w:hAnsi="Arial" w:cstheme="majorBidi"/>
      <w:b/>
      <w:bCs/>
      <w:color w:val="4F81BD" w:themeColor="accent1"/>
      <w:sz w:val="24"/>
      <w:szCs w:val="26"/>
    </w:rPr>
  </w:style>
  <w:style w:type="character" w:customStyle="1" w:styleId="Heading3Char">
    <w:name w:val="Heading 3 Char"/>
    <w:basedOn w:val="DefaultParagraphFont"/>
    <w:link w:val="Heading3"/>
    <w:uiPriority w:val="9"/>
    <w:rsid w:val="00B25F07"/>
    <w:rPr>
      <w:rFonts w:ascii="Arial" w:eastAsiaTheme="majorEastAsia" w:hAnsi="Arial" w:cstheme="majorBidi"/>
      <w:b/>
      <w:bCs/>
      <w:i/>
      <w:color w:val="1F497D" w:themeColor="text2"/>
      <w:sz w:val="24"/>
      <w:szCs w:val="20"/>
    </w:rPr>
  </w:style>
  <w:style w:type="character" w:customStyle="1" w:styleId="Heading4Char">
    <w:name w:val="Heading 4 Char"/>
    <w:basedOn w:val="DefaultParagraphFont"/>
    <w:link w:val="Heading4"/>
    <w:uiPriority w:val="9"/>
    <w:rsid w:val="00934AD6"/>
    <w:rPr>
      <w:rFonts w:ascii="Arial" w:eastAsiaTheme="majorEastAsia" w:hAnsi="Arial" w:cstheme="majorBidi"/>
      <w:b/>
      <w:bCs/>
      <w:i/>
      <w:iCs/>
      <w:color w:val="4F81BD" w:themeColor="accent1"/>
      <w:sz w:val="24"/>
      <w:szCs w:val="20"/>
    </w:rPr>
  </w:style>
  <w:style w:type="paragraph" w:styleId="TOC1">
    <w:name w:val="toc 1"/>
    <w:basedOn w:val="Normal"/>
    <w:next w:val="Normal"/>
    <w:autoRedefine/>
    <w:uiPriority w:val="39"/>
    <w:unhideWhenUsed/>
    <w:rsid w:val="00FC3A84"/>
    <w:pPr>
      <w:spacing w:after="100"/>
    </w:pPr>
  </w:style>
  <w:style w:type="paragraph" w:styleId="TOC2">
    <w:name w:val="toc 2"/>
    <w:basedOn w:val="Normal"/>
    <w:next w:val="Normal"/>
    <w:autoRedefine/>
    <w:uiPriority w:val="39"/>
    <w:unhideWhenUsed/>
    <w:rsid w:val="00FC3A84"/>
    <w:pPr>
      <w:spacing w:after="100"/>
      <w:ind w:left="200"/>
    </w:pPr>
  </w:style>
  <w:style w:type="paragraph" w:styleId="TOC3">
    <w:name w:val="toc 3"/>
    <w:basedOn w:val="Normal"/>
    <w:next w:val="Normal"/>
    <w:autoRedefine/>
    <w:uiPriority w:val="39"/>
    <w:unhideWhenUsed/>
    <w:rsid w:val="00FC3A84"/>
    <w:pPr>
      <w:spacing w:after="100"/>
      <w:ind w:left="400"/>
    </w:pPr>
  </w:style>
  <w:style w:type="character" w:styleId="Hyperlink">
    <w:name w:val="Hyperlink"/>
    <w:basedOn w:val="DefaultParagraphFont"/>
    <w:unhideWhenUsed/>
    <w:rsid w:val="00FC3A84"/>
    <w:rPr>
      <w:color w:val="0000FF" w:themeColor="hyperlink"/>
      <w:u w:val="single"/>
    </w:rPr>
  </w:style>
  <w:style w:type="character" w:styleId="FollowedHyperlink">
    <w:name w:val="FollowedHyperlink"/>
    <w:basedOn w:val="DefaultParagraphFont"/>
    <w:uiPriority w:val="99"/>
    <w:semiHidden/>
    <w:unhideWhenUsed/>
    <w:rsid w:val="00B25F07"/>
    <w:rPr>
      <w:color w:val="800080" w:themeColor="followedHyperlink"/>
      <w:u w:val="single"/>
    </w:rPr>
  </w:style>
  <w:style w:type="paragraph" w:customStyle="1" w:styleId="LTU-Cover-Contactdetails">
    <w:name w:val="LTU - Cover - Contact details"/>
    <w:basedOn w:val="Normal"/>
    <w:qFormat/>
    <w:rsid w:val="00AC59A5"/>
    <w:pPr>
      <w:widowControl w:val="0"/>
      <w:tabs>
        <w:tab w:val="left" w:pos="170"/>
      </w:tabs>
      <w:autoSpaceDE w:val="0"/>
      <w:autoSpaceDN w:val="0"/>
      <w:adjustRightInd w:val="0"/>
      <w:textAlignment w:val="center"/>
    </w:pPr>
    <w:rPr>
      <w:rFonts w:ascii="Calibri" w:eastAsia="MS Mincho" w:hAnsi="Calibri" w:cs="Arial"/>
      <w:color w:val="565652"/>
      <w:sz w:val="18"/>
      <w:szCs w:val="18"/>
      <w:lang w:val="en-GB" w:eastAsia="en-AU"/>
    </w:rPr>
  </w:style>
  <w:style w:type="paragraph" w:customStyle="1" w:styleId="LTU-Cover-Subhead1">
    <w:name w:val="LTU - Cover - Subhead 1"/>
    <w:basedOn w:val="Normal"/>
    <w:qFormat/>
    <w:rsid w:val="00AC59A5"/>
    <w:pPr>
      <w:ind w:right="-482"/>
    </w:pPr>
    <w:rPr>
      <w:rFonts w:ascii="Calibri" w:eastAsia="Calibri" w:hAnsi="Calibri"/>
      <w:b/>
      <w:color w:val="625F5E"/>
      <w:sz w:val="18"/>
      <w:szCs w:val="18"/>
    </w:rPr>
  </w:style>
  <w:style w:type="paragraph" w:customStyle="1" w:styleId="LTU-Cover-DateVersion">
    <w:name w:val="LTU - Cover - Date / Version"/>
    <w:basedOn w:val="Normal"/>
    <w:qFormat/>
    <w:rsid w:val="00AC59A5"/>
    <w:pPr>
      <w:widowControl w:val="0"/>
      <w:autoSpaceDE w:val="0"/>
      <w:autoSpaceDN w:val="0"/>
      <w:adjustRightInd w:val="0"/>
      <w:textAlignment w:val="center"/>
    </w:pPr>
    <w:rPr>
      <w:rFonts w:ascii="Calibri" w:eastAsia="MS Mincho" w:hAnsi="Calibri" w:cs="Arial"/>
      <w:color w:val="565652"/>
      <w:lang w:val="en-GB" w:eastAsia="en-AU"/>
    </w:rPr>
  </w:style>
  <w:style w:type="paragraph" w:customStyle="1" w:styleId="LTU-Cover-Heading2">
    <w:name w:val="LTU - Cover - Heading 2"/>
    <w:basedOn w:val="Normal"/>
    <w:qFormat/>
    <w:rsid w:val="00AC59A5"/>
    <w:pPr>
      <w:widowControl w:val="0"/>
      <w:autoSpaceDE w:val="0"/>
      <w:autoSpaceDN w:val="0"/>
      <w:adjustRightInd w:val="0"/>
      <w:textAlignment w:val="center"/>
    </w:pPr>
    <w:rPr>
      <w:rFonts w:ascii="Georgia" w:eastAsia="MS Mincho" w:hAnsi="Georgia" w:cs="Georgia"/>
      <w:b/>
      <w:bCs/>
      <w:color w:val="FFFFFF"/>
      <w:sz w:val="36"/>
      <w:szCs w:val="36"/>
      <w:lang w:val="en-GB" w:eastAsia="en-AU"/>
    </w:rPr>
  </w:style>
  <w:style w:type="paragraph" w:customStyle="1" w:styleId="LTU-Cover-Heading3">
    <w:name w:val="LTU - Cover - Heading 3"/>
    <w:basedOn w:val="Normal"/>
    <w:qFormat/>
    <w:rsid w:val="00AC59A5"/>
    <w:pPr>
      <w:widowControl w:val="0"/>
      <w:autoSpaceDE w:val="0"/>
      <w:autoSpaceDN w:val="0"/>
      <w:adjustRightInd w:val="0"/>
      <w:textAlignment w:val="center"/>
    </w:pPr>
    <w:rPr>
      <w:rFonts w:ascii="Calibri" w:eastAsia="MS Mincho" w:hAnsi="Calibri" w:cs="Arial"/>
      <w:color w:val="FFFFFF"/>
      <w:sz w:val="26"/>
      <w:szCs w:val="26"/>
      <w:lang w:val="en-GB" w:eastAsia="en-AU"/>
    </w:rPr>
  </w:style>
  <w:style w:type="paragraph" w:customStyle="1" w:styleId="LTU-Header-DivisionSchoolResearchCentre">
    <w:name w:val="LTU - Header - Division / School / Research Centre"/>
    <w:basedOn w:val="Header"/>
    <w:qFormat/>
    <w:rsid w:val="00AC59A5"/>
    <w:pPr>
      <w:tabs>
        <w:tab w:val="clear" w:pos="4513"/>
        <w:tab w:val="clear" w:pos="9026"/>
      </w:tabs>
    </w:pPr>
    <w:rPr>
      <w:rFonts w:ascii="Calibri" w:eastAsia="Calibri" w:hAnsi="Calibri"/>
      <w:color w:val="696766"/>
      <w:sz w:val="18"/>
      <w:szCs w:val="18"/>
    </w:rPr>
  </w:style>
  <w:style w:type="paragraph" w:customStyle="1" w:styleId="LTU-Subhead1">
    <w:name w:val="LTU - Subhead 1"/>
    <w:basedOn w:val="Normal"/>
    <w:next w:val="LTU-Body10pt"/>
    <w:link w:val="LTU-Subhead1Char"/>
    <w:qFormat/>
    <w:rsid w:val="0014768F"/>
    <w:pPr>
      <w:autoSpaceDE w:val="0"/>
      <w:autoSpaceDN w:val="0"/>
      <w:adjustRightInd w:val="0"/>
      <w:spacing w:before="120" w:after="120" w:line="276" w:lineRule="auto"/>
      <w:textAlignment w:val="center"/>
    </w:pPr>
    <w:rPr>
      <w:rFonts w:eastAsia="Calibri" w:cs="Arial"/>
      <w:b/>
      <w:color w:val="AB2328"/>
      <w:sz w:val="25"/>
      <w:szCs w:val="25"/>
      <w:lang w:val="en-GB"/>
    </w:rPr>
  </w:style>
  <w:style w:type="paragraph" w:customStyle="1" w:styleId="LTU-Body10pt">
    <w:name w:val="LTU - Body 10pt"/>
    <w:basedOn w:val="Normal"/>
    <w:qFormat/>
    <w:rsid w:val="0014768F"/>
    <w:pPr>
      <w:spacing w:after="200" w:line="276" w:lineRule="auto"/>
    </w:pPr>
    <w:rPr>
      <w:rFonts w:ascii="Calibri" w:eastAsia="Calibri" w:hAnsi="Calibri" w:cs="Arial"/>
      <w:sz w:val="18"/>
      <w:szCs w:val="18"/>
    </w:rPr>
  </w:style>
  <w:style w:type="paragraph" w:customStyle="1" w:styleId="LTU-Subhead10pt">
    <w:name w:val="LTU - Subhead 1 0pt"/>
    <w:basedOn w:val="LTU-Subhead1"/>
    <w:link w:val="LTU-Subhead10ptChar"/>
    <w:qFormat/>
    <w:rsid w:val="0014768F"/>
    <w:pPr>
      <w:spacing w:before="0"/>
    </w:pPr>
  </w:style>
  <w:style w:type="paragraph" w:styleId="FootnoteText">
    <w:name w:val="footnote text"/>
    <w:basedOn w:val="Normal"/>
    <w:link w:val="FootnoteTextChar"/>
    <w:uiPriority w:val="99"/>
    <w:unhideWhenUsed/>
    <w:rsid w:val="0014768F"/>
    <w:rPr>
      <w:rFonts w:ascii="Calibri" w:eastAsia="Calibri" w:hAnsi="Calibri"/>
      <w:sz w:val="18"/>
      <w:szCs w:val="18"/>
    </w:rPr>
  </w:style>
  <w:style w:type="character" w:customStyle="1" w:styleId="FootnoteTextChar">
    <w:name w:val="Footnote Text Char"/>
    <w:basedOn w:val="DefaultParagraphFont"/>
    <w:link w:val="FootnoteText"/>
    <w:uiPriority w:val="99"/>
    <w:rsid w:val="0014768F"/>
    <w:rPr>
      <w:rFonts w:ascii="Calibri" w:eastAsia="Calibri" w:hAnsi="Calibri" w:cs="Times New Roman"/>
      <w:sz w:val="18"/>
      <w:szCs w:val="18"/>
    </w:rPr>
  </w:style>
  <w:style w:type="character" w:customStyle="1" w:styleId="LTU-Subhead1Char">
    <w:name w:val="LTU - Subhead 1 Char"/>
    <w:basedOn w:val="DefaultParagraphFont"/>
    <w:link w:val="LTU-Subhead1"/>
    <w:rsid w:val="0014768F"/>
    <w:rPr>
      <w:rFonts w:ascii="Times New Roman" w:eastAsia="Calibri" w:hAnsi="Times New Roman" w:cs="Arial"/>
      <w:b/>
      <w:color w:val="AB2328"/>
      <w:sz w:val="25"/>
      <w:szCs w:val="25"/>
      <w:lang w:val="en-GB"/>
    </w:rPr>
  </w:style>
  <w:style w:type="character" w:customStyle="1" w:styleId="LTU-Subhead10ptChar">
    <w:name w:val="LTU - Subhead 1 0pt Char"/>
    <w:basedOn w:val="LTU-Subhead1Char"/>
    <w:link w:val="LTU-Subhead10pt"/>
    <w:rsid w:val="0014768F"/>
    <w:rPr>
      <w:rFonts w:ascii="Times New Roman" w:eastAsia="Calibri" w:hAnsi="Times New Roman" w:cs="Arial"/>
      <w:b/>
      <w:color w:val="AB2328"/>
      <w:sz w:val="25"/>
      <w:szCs w:val="25"/>
      <w:lang w:val="en-GB"/>
    </w:rPr>
  </w:style>
  <w:style w:type="table" w:customStyle="1" w:styleId="TableGrid1">
    <w:name w:val="Table Grid1"/>
    <w:basedOn w:val="TableNormal"/>
    <w:next w:val="TableGrid"/>
    <w:uiPriority w:val="59"/>
    <w:rsid w:val="00A7079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32A08"/>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960163"/>
    <w:pPr>
      <w:widowControl w:val="0"/>
      <w:suppressAutoHyphens/>
      <w:spacing w:after="283" w:line="276" w:lineRule="auto"/>
    </w:pPr>
    <w:rPr>
      <w:rFonts w:eastAsia="SimSun" w:cs="Lucida Sans"/>
      <w:sz w:val="24"/>
      <w:szCs w:val="24"/>
      <w:lang w:eastAsia="zh-CN" w:bidi="hi-IN"/>
    </w:rPr>
  </w:style>
  <w:style w:type="character" w:styleId="FootnoteReference">
    <w:name w:val="footnote reference"/>
    <w:uiPriority w:val="99"/>
    <w:unhideWhenUsed/>
    <w:rsid w:val="00D524D5"/>
    <w:rPr>
      <w:vertAlign w:val="superscript"/>
    </w:rPr>
  </w:style>
  <w:style w:type="table" w:customStyle="1" w:styleId="TableGrid3">
    <w:name w:val="Table Grid3"/>
    <w:basedOn w:val="TableNormal"/>
    <w:next w:val="TableGrid"/>
    <w:uiPriority w:val="59"/>
    <w:locked/>
    <w:rsid w:val="00A14193"/>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contents">
    <w:name w:val="pagecontents"/>
    <w:basedOn w:val="Normal"/>
    <w:rsid w:val="00F5171A"/>
    <w:rPr>
      <w:rFonts w:ascii="Verdana" w:hAnsi="Verdana"/>
      <w:color w:val="000000"/>
      <w:sz w:val="17"/>
      <w:szCs w:val="17"/>
      <w:lang w:eastAsia="en-AU"/>
    </w:rPr>
  </w:style>
  <w:style w:type="numbering" w:customStyle="1" w:styleId="NoList1">
    <w:name w:val="No List1"/>
    <w:next w:val="NoList"/>
    <w:uiPriority w:val="99"/>
    <w:semiHidden/>
    <w:unhideWhenUsed/>
    <w:rsid w:val="001C116E"/>
  </w:style>
  <w:style w:type="paragraph" w:styleId="BodyText">
    <w:name w:val="Body Text"/>
    <w:basedOn w:val="Normal"/>
    <w:link w:val="BodyTextChar"/>
    <w:rsid w:val="001C116E"/>
    <w:rPr>
      <w:rFonts w:ascii="Arial" w:hAnsi="Arial"/>
      <w:i/>
      <w:sz w:val="22"/>
      <w:lang w:val="en-GB" w:eastAsia="en-GB"/>
    </w:rPr>
  </w:style>
  <w:style w:type="character" w:customStyle="1" w:styleId="BodyTextChar">
    <w:name w:val="Body Text Char"/>
    <w:basedOn w:val="DefaultParagraphFont"/>
    <w:link w:val="BodyText"/>
    <w:rsid w:val="001C116E"/>
    <w:rPr>
      <w:rFonts w:ascii="Arial" w:eastAsia="Times New Roman" w:hAnsi="Arial" w:cs="Times New Roman"/>
      <w:i/>
      <w:szCs w:val="20"/>
      <w:lang w:val="en-GB" w:eastAsia="en-GB"/>
    </w:rPr>
  </w:style>
  <w:style w:type="paragraph" w:styleId="BodyTextIndent">
    <w:name w:val="Body Text Indent"/>
    <w:basedOn w:val="Normal"/>
    <w:link w:val="BodyTextIndentChar"/>
    <w:rsid w:val="001C116E"/>
    <w:pPr>
      <w:ind w:left="720"/>
    </w:pPr>
    <w:rPr>
      <w:rFonts w:ascii="Arial" w:hAnsi="Arial"/>
      <w:sz w:val="22"/>
      <w:lang w:val="en-GB" w:eastAsia="en-GB"/>
    </w:rPr>
  </w:style>
  <w:style w:type="character" w:customStyle="1" w:styleId="BodyTextIndentChar">
    <w:name w:val="Body Text Indent Char"/>
    <w:basedOn w:val="DefaultParagraphFont"/>
    <w:link w:val="BodyTextIndent"/>
    <w:rsid w:val="001C116E"/>
    <w:rPr>
      <w:rFonts w:ascii="Arial" w:eastAsia="Times New Roman" w:hAnsi="Arial" w:cs="Times New Roman"/>
      <w:szCs w:val="20"/>
      <w:lang w:val="en-GB" w:eastAsia="en-GB"/>
    </w:rPr>
  </w:style>
  <w:style w:type="paragraph" w:styleId="BodyText2">
    <w:name w:val="Body Text 2"/>
    <w:basedOn w:val="Normal"/>
    <w:link w:val="BodyText2Char"/>
    <w:rsid w:val="001C116E"/>
    <w:rPr>
      <w:rFonts w:ascii="Arial" w:hAnsi="Arial"/>
      <w:lang w:val="en-GB" w:eastAsia="en-GB"/>
    </w:rPr>
  </w:style>
  <w:style w:type="character" w:customStyle="1" w:styleId="BodyText2Char">
    <w:name w:val="Body Text 2 Char"/>
    <w:basedOn w:val="DefaultParagraphFont"/>
    <w:link w:val="BodyText2"/>
    <w:rsid w:val="001C116E"/>
    <w:rPr>
      <w:rFonts w:ascii="Arial" w:eastAsia="Times New Roman" w:hAnsi="Arial" w:cs="Times New Roman"/>
      <w:sz w:val="20"/>
      <w:szCs w:val="20"/>
      <w:lang w:val="en-GB" w:eastAsia="en-GB"/>
    </w:rPr>
  </w:style>
  <w:style w:type="character" w:styleId="PageNumber">
    <w:name w:val="page number"/>
    <w:rsid w:val="001C116E"/>
  </w:style>
  <w:style w:type="table" w:customStyle="1" w:styleId="TableGrid4">
    <w:name w:val="Table Grid4"/>
    <w:basedOn w:val="TableNormal"/>
    <w:next w:val="TableGrid"/>
    <w:uiPriority w:val="59"/>
    <w:rsid w:val="001C11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Cheading">
    <w:name w:val="UKC heading"/>
    <w:basedOn w:val="Normal"/>
    <w:next w:val="Normal"/>
    <w:rsid w:val="001C116E"/>
    <w:pPr>
      <w:suppressAutoHyphens/>
    </w:pPr>
    <w:rPr>
      <w:rFonts w:ascii="Gill Alt One MT" w:hAnsi="Gill Alt One MT"/>
      <w:sz w:val="24"/>
      <w:szCs w:val="24"/>
      <w:lang w:val="en-GB" w:eastAsia="ar-SA"/>
    </w:rPr>
  </w:style>
  <w:style w:type="paragraph" w:customStyle="1" w:styleId="Qno">
    <w:name w:val="Qno"/>
    <w:basedOn w:val="Normal"/>
    <w:rsid w:val="001C116E"/>
    <w:pPr>
      <w:tabs>
        <w:tab w:val="left" w:pos="720"/>
      </w:tabs>
      <w:suppressAutoHyphens/>
      <w:ind w:left="720" w:hanging="360"/>
    </w:pPr>
    <w:rPr>
      <w:sz w:val="24"/>
      <w:szCs w:val="24"/>
      <w:lang w:val="en-GB" w:eastAsia="ar-SA"/>
    </w:rPr>
  </w:style>
  <w:style w:type="paragraph" w:styleId="Title">
    <w:name w:val="Title"/>
    <w:basedOn w:val="Normal"/>
    <w:next w:val="Subtitle"/>
    <w:link w:val="TitleChar"/>
    <w:qFormat/>
    <w:rsid w:val="001C116E"/>
    <w:pPr>
      <w:suppressAutoHyphens/>
      <w:spacing w:before="240" w:after="60"/>
      <w:jc w:val="center"/>
    </w:pPr>
    <w:rPr>
      <w:rFonts w:ascii="Gill Alt One MT" w:hAnsi="Gill Alt One MT"/>
      <w:b/>
      <w:kern w:val="1"/>
      <w:sz w:val="36"/>
      <w:szCs w:val="24"/>
      <w:lang w:val="en-GB" w:eastAsia="ar-SA"/>
    </w:rPr>
  </w:style>
  <w:style w:type="character" w:customStyle="1" w:styleId="TitleChar">
    <w:name w:val="Title Char"/>
    <w:basedOn w:val="DefaultParagraphFont"/>
    <w:link w:val="Title"/>
    <w:rsid w:val="001C116E"/>
    <w:rPr>
      <w:rFonts w:ascii="Gill Alt One MT" w:eastAsia="Times New Roman" w:hAnsi="Gill Alt One MT" w:cs="Times New Roman"/>
      <w:b/>
      <w:kern w:val="1"/>
      <w:sz w:val="36"/>
      <w:szCs w:val="24"/>
      <w:lang w:val="en-GB" w:eastAsia="ar-SA"/>
    </w:rPr>
  </w:style>
  <w:style w:type="paragraph" w:styleId="Subtitle">
    <w:name w:val="Subtitle"/>
    <w:basedOn w:val="Normal"/>
    <w:next w:val="Normal"/>
    <w:link w:val="SubtitleChar"/>
    <w:qFormat/>
    <w:rsid w:val="001C116E"/>
    <w:pPr>
      <w:spacing w:after="60"/>
      <w:jc w:val="center"/>
      <w:outlineLvl w:val="1"/>
    </w:pPr>
    <w:rPr>
      <w:rFonts w:ascii="Cambria" w:hAnsi="Cambria"/>
      <w:sz w:val="24"/>
      <w:szCs w:val="24"/>
      <w:lang w:val="en-GB" w:eastAsia="en-GB"/>
    </w:rPr>
  </w:style>
  <w:style w:type="character" w:customStyle="1" w:styleId="SubtitleChar">
    <w:name w:val="Subtitle Char"/>
    <w:basedOn w:val="DefaultParagraphFont"/>
    <w:link w:val="Subtitle"/>
    <w:rsid w:val="001C116E"/>
    <w:rPr>
      <w:rFonts w:ascii="Cambria" w:eastAsia="Times New Roman" w:hAnsi="Cambria" w:cs="Times New Roman"/>
      <w:sz w:val="24"/>
      <w:szCs w:val="24"/>
      <w:lang w:val="en-GB" w:eastAsia="en-GB"/>
    </w:rPr>
  </w:style>
  <w:style w:type="paragraph" w:styleId="BodyTextIndent2">
    <w:name w:val="Body Text Indent 2"/>
    <w:basedOn w:val="Normal"/>
    <w:link w:val="BodyTextIndent2Char"/>
    <w:rsid w:val="001C116E"/>
    <w:pPr>
      <w:spacing w:after="120" w:line="480" w:lineRule="auto"/>
      <w:ind w:left="283"/>
    </w:pPr>
    <w:rPr>
      <w:rFonts w:ascii="Arial" w:hAnsi="Arial"/>
      <w:sz w:val="22"/>
      <w:lang w:val="en-GB" w:eastAsia="en-GB"/>
    </w:rPr>
  </w:style>
  <w:style w:type="character" w:customStyle="1" w:styleId="BodyTextIndent2Char">
    <w:name w:val="Body Text Indent 2 Char"/>
    <w:basedOn w:val="DefaultParagraphFont"/>
    <w:link w:val="BodyTextIndent2"/>
    <w:rsid w:val="001C116E"/>
    <w:rPr>
      <w:rFonts w:ascii="Arial" w:eastAsia="Times New Roman" w:hAnsi="Arial" w:cs="Times New Roman"/>
      <w:szCs w:val="20"/>
      <w:lang w:val="en-GB" w:eastAsia="en-GB"/>
    </w:rPr>
  </w:style>
  <w:style w:type="paragraph" w:styleId="Revision">
    <w:name w:val="Revision"/>
    <w:hidden/>
    <w:uiPriority w:val="99"/>
    <w:semiHidden/>
    <w:rsid w:val="001C116E"/>
    <w:pPr>
      <w:spacing w:after="0" w:line="240" w:lineRule="auto"/>
    </w:pPr>
    <w:rPr>
      <w:rFonts w:ascii="Arial" w:eastAsia="Times New Roman" w:hAnsi="Arial" w:cs="Times New Roman"/>
      <w:szCs w:val="20"/>
      <w:lang w:val="en-GB" w:eastAsia="en-GB"/>
    </w:rPr>
  </w:style>
  <w:style w:type="paragraph" w:styleId="TOC4">
    <w:name w:val="toc 4"/>
    <w:basedOn w:val="Normal"/>
    <w:next w:val="Normal"/>
    <w:autoRedefine/>
    <w:uiPriority w:val="39"/>
    <w:unhideWhenUsed/>
    <w:rsid w:val="006931F6"/>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931F6"/>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931F6"/>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931F6"/>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931F6"/>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931F6"/>
    <w:pPr>
      <w:spacing w:after="100" w:line="276" w:lineRule="auto"/>
      <w:ind w:left="1760"/>
    </w:pPr>
    <w:rPr>
      <w:rFonts w:asciiTheme="minorHAnsi" w:eastAsiaTheme="minorEastAsia" w:hAnsiTheme="minorHAnsi" w:cstheme="minorBidi"/>
      <w:sz w:val="22"/>
      <w:szCs w:val="22"/>
      <w:lang w:eastAsia="en-AU"/>
    </w:rPr>
  </w:style>
  <w:style w:type="paragraph" w:styleId="NoSpacing">
    <w:name w:val="No Spacing"/>
    <w:link w:val="NoSpacingChar"/>
    <w:uiPriority w:val="1"/>
    <w:qFormat/>
    <w:rsid w:val="00163B3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3B34"/>
    <w:rPr>
      <w:rFonts w:eastAsiaTheme="minorEastAsia"/>
      <w:lang w:val="en-US"/>
    </w:rPr>
  </w:style>
  <w:style w:type="table" w:styleId="LightShading-Accent5">
    <w:name w:val="Light Shading Accent 5"/>
    <w:basedOn w:val="TableNormal"/>
    <w:uiPriority w:val="60"/>
    <w:rsid w:val="005F5F77"/>
    <w:pPr>
      <w:spacing w:after="0" w:line="240" w:lineRule="auto"/>
    </w:pPr>
    <w:rPr>
      <w:rFonts w:ascii="Arial" w:eastAsiaTheme="minorEastAsia" w:hAnsi="Arial"/>
      <w:color w:val="31849B" w:themeColor="accent5" w:themeShade="BF"/>
      <w:sz w:val="24"/>
      <w:szCs w:val="24"/>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9859E7"/>
    <w:pPr>
      <w:spacing w:after="0" w:line="240" w:lineRule="auto"/>
    </w:pPr>
    <w:rPr>
      <w:rFonts w:ascii="Arial" w:eastAsiaTheme="minorEastAsia" w:hAnsi="Arial"/>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756E55"/>
    <w:pPr>
      <w:spacing w:after="0" w:line="240" w:lineRule="auto"/>
    </w:pPr>
    <w:rPr>
      <w:rFonts w:ascii="Arial" w:eastAsiaTheme="minorEastAsia" w:hAnsi="Arial"/>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756E55"/>
    <w:pPr>
      <w:spacing w:after="0" w:line="240" w:lineRule="auto"/>
    </w:pPr>
    <w:rPr>
      <w:rFonts w:ascii="Arial" w:eastAsiaTheme="minorEastAsia" w:hAnsi="Arial"/>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semiHidden/>
    <w:rsid w:val="00D54FEF"/>
    <w:rPr>
      <w:rFonts w:asciiTheme="majorHAnsi" w:eastAsiaTheme="majorEastAsia" w:hAnsiTheme="majorHAnsi" w:cstheme="majorBidi"/>
      <w:color w:val="365F91" w:themeColor="accent1" w:themeShade="BF"/>
      <w:sz w:val="20"/>
      <w:szCs w:val="20"/>
    </w:rPr>
  </w:style>
  <w:style w:type="character" w:customStyle="1" w:styleId="UnresolvedMention1">
    <w:name w:val="Unresolved Mention1"/>
    <w:basedOn w:val="DefaultParagraphFont"/>
    <w:uiPriority w:val="99"/>
    <w:rsid w:val="00AB6044"/>
    <w:rPr>
      <w:color w:val="808080"/>
      <w:shd w:val="clear" w:color="auto" w:fill="E6E6E6"/>
    </w:rPr>
  </w:style>
  <w:style w:type="paragraph" w:customStyle="1" w:styleId="bigby">
    <w:name w:val="bigby"/>
    <w:basedOn w:val="Normal"/>
    <w:autoRedefine/>
    <w:qFormat/>
    <w:rsid w:val="00AB6044"/>
    <w:pPr>
      <w:widowControl w:val="0"/>
      <w:autoSpaceDE w:val="0"/>
      <w:autoSpaceDN w:val="0"/>
      <w:adjustRightInd w:val="0"/>
      <w:spacing w:after="120"/>
    </w:pPr>
    <w:rPr>
      <w:rFonts w:eastAsiaTheme="minorHAnsi"/>
      <w:iCs/>
      <w:sz w:val="22"/>
      <w:szCs w:val="22"/>
    </w:rPr>
  </w:style>
  <w:style w:type="character" w:customStyle="1" w:styleId="author">
    <w:name w:val="author"/>
    <w:basedOn w:val="DefaultParagraphFont"/>
    <w:rsid w:val="00942A81"/>
  </w:style>
  <w:style w:type="character" w:customStyle="1" w:styleId="pubyear">
    <w:name w:val="pubyear"/>
    <w:basedOn w:val="DefaultParagraphFont"/>
    <w:rsid w:val="00942A81"/>
  </w:style>
  <w:style w:type="character" w:customStyle="1" w:styleId="chaptertitle">
    <w:name w:val="chaptertitle"/>
    <w:basedOn w:val="DefaultParagraphFont"/>
    <w:rsid w:val="00942A81"/>
  </w:style>
  <w:style w:type="character" w:customStyle="1" w:styleId="booktitle">
    <w:name w:val="booktitle"/>
    <w:basedOn w:val="DefaultParagraphFont"/>
    <w:rsid w:val="00942A81"/>
  </w:style>
  <w:style w:type="character" w:customStyle="1" w:styleId="editor">
    <w:name w:val="editor"/>
    <w:basedOn w:val="DefaultParagraphFont"/>
    <w:rsid w:val="00942A81"/>
  </w:style>
  <w:style w:type="character" w:customStyle="1" w:styleId="pagefirst">
    <w:name w:val="pagefirst"/>
    <w:basedOn w:val="DefaultParagraphFont"/>
    <w:rsid w:val="00942A81"/>
  </w:style>
  <w:style w:type="character" w:customStyle="1" w:styleId="pagelast">
    <w:name w:val="pagelast"/>
    <w:basedOn w:val="DefaultParagraphFont"/>
    <w:rsid w:val="00942A81"/>
  </w:style>
  <w:style w:type="character" w:customStyle="1" w:styleId="publisherlocation">
    <w:name w:val="publisherlocation"/>
    <w:basedOn w:val="DefaultParagraphFont"/>
    <w:rsid w:val="00942A81"/>
  </w:style>
  <w:style w:type="character" w:customStyle="1" w:styleId="apple-converted-space">
    <w:name w:val="apple-converted-space"/>
    <w:basedOn w:val="DefaultParagraphFont"/>
    <w:rsid w:val="00C64B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F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34AD6"/>
    <w:pPr>
      <w:keepNext/>
      <w:keepLines/>
      <w:spacing w:before="480" w:after="240"/>
      <w:jc w:val="center"/>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nhideWhenUsed/>
    <w:qFormat/>
    <w:rsid w:val="00934AD6"/>
    <w:pPr>
      <w:keepNext/>
      <w:keepLines/>
      <w:spacing w:before="200" w:after="12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B25F07"/>
    <w:pPr>
      <w:keepNext/>
      <w:keepLines/>
      <w:spacing w:before="200" w:after="240"/>
      <w:outlineLvl w:val="2"/>
    </w:pPr>
    <w:rPr>
      <w:rFonts w:ascii="Arial" w:eastAsiaTheme="majorEastAsia" w:hAnsi="Arial" w:cstheme="majorBidi"/>
      <w:b/>
      <w:bCs/>
      <w:i/>
      <w:color w:val="1F497D" w:themeColor="text2"/>
      <w:sz w:val="24"/>
    </w:rPr>
  </w:style>
  <w:style w:type="paragraph" w:styleId="Heading4">
    <w:name w:val="heading 4"/>
    <w:basedOn w:val="Normal"/>
    <w:next w:val="Normal"/>
    <w:link w:val="Heading4Char"/>
    <w:uiPriority w:val="9"/>
    <w:unhideWhenUsed/>
    <w:qFormat/>
    <w:rsid w:val="00934AD6"/>
    <w:pPr>
      <w:keepNext/>
      <w:keepLines/>
      <w:spacing w:before="200" w:after="120"/>
      <w:outlineLvl w:val="3"/>
    </w:pPr>
    <w:rPr>
      <w:rFonts w:ascii="Arial" w:eastAsiaTheme="majorEastAsia" w:hAnsi="Arial"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D54FE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4F0"/>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D054F0"/>
    <w:pPr>
      <w:spacing w:after="100" w:afterAutospacing="1" w:line="288" w:lineRule="atLeast"/>
    </w:pPr>
    <w:rPr>
      <w:rFonts w:ascii="Helvetica" w:hAnsi="Helvetica"/>
      <w:sz w:val="22"/>
      <w:szCs w:val="22"/>
      <w:lang w:eastAsia="en-AU"/>
    </w:rPr>
  </w:style>
  <w:style w:type="paragraph" w:styleId="Header">
    <w:name w:val="header"/>
    <w:basedOn w:val="Normal"/>
    <w:link w:val="HeaderChar"/>
    <w:unhideWhenUsed/>
    <w:rsid w:val="003F7EA1"/>
    <w:pPr>
      <w:tabs>
        <w:tab w:val="center" w:pos="4513"/>
        <w:tab w:val="right" w:pos="9026"/>
      </w:tabs>
    </w:pPr>
  </w:style>
  <w:style w:type="character" w:customStyle="1" w:styleId="HeaderChar">
    <w:name w:val="Header Char"/>
    <w:basedOn w:val="DefaultParagraphFont"/>
    <w:link w:val="Header"/>
    <w:rsid w:val="003F7EA1"/>
    <w:rPr>
      <w:rFonts w:ascii="Times New Roman" w:eastAsia="Times New Roman" w:hAnsi="Times New Roman" w:cs="Times New Roman"/>
      <w:sz w:val="20"/>
      <w:szCs w:val="20"/>
    </w:rPr>
  </w:style>
  <w:style w:type="paragraph" w:styleId="Footer">
    <w:name w:val="footer"/>
    <w:basedOn w:val="Normal"/>
    <w:link w:val="FooterChar"/>
    <w:unhideWhenUsed/>
    <w:rsid w:val="003F7EA1"/>
    <w:pPr>
      <w:tabs>
        <w:tab w:val="center" w:pos="4513"/>
        <w:tab w:val="right" w:pos="9026"/>
      </w:tabs>
    </w:pPr>
  </w:style>
  <w:style w:type="character" w:customStyle="1" w:styleId="FooterChar">
    <w:name w:val="Footer Char"/>
    <w:basedOn w:val="DefaultParagraphFont"/>
    <w:link w:val="Footer"/>
    <w:uiPriority w:val="99"/>
    <w:rsid w:val="003F7EA1"/>
    <w:rPr>
      <w:rFonts w:ascii="Times New Roman" w:eastAsia="Times New Roman" w:hAnsi="Times New Roman" w:cs="Times New Roman"/>
      <w:sz w:val="20"/>
      <w:szCs w:val="20"/>
    </w:rPr>
  </w:style>
  <w:style w:type="table" w:styleId="TableGrid">
    <w:name w:val="Table Grid"/>
    <w:basedOn w:val="TableNormal"/>
    <w:uiPriority w:val="39"/>
    <w:rsid w:val="0098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D5E87"/>
    <w:rPr>
      <w:rFonts w:ascii="Tahoma" w:hAnsi="Tahoma" w:cs="Tahoma"/>
      <w:sz w:val="16"/>
      <w:szCs w:val="16"/>
    </w:rPr>
  </w:style>
  <w:style w:type="character" w:customStyle="1" w:styleId="BalloonTextChar">
    <w:name w:val="Balloon Text Char"/>
    <w:basedOn w:val="DefaultParagraphFont"/>
    <w:link w:val="BalloonText"/>
    <w:rsid w:val="000D5E87"/>
    <w:rPr>
      <w:rFonts w:ascii="Tahoma" w:eastAsia="Times New Roman" w:hAnsi="Tahoma" w:cs="Tahoma"/>
      <w:sz w:val="16"/>
      <w:szCs w:val="16"/>
    </w:rPr>
  </w:style>
  <w:style w:type="character" w:styleId="CommentReference">
    <w:name w:val="annotation reference"/>
    <w:basedOn w:val="DefaultParagraphFont"/>
    <w:unhideWhenUsed/>
    <w:rsid w:val="00B87301"/>
    <w:rPr>
      <w:sz w:val="16"/>
      <w:szCs w:val="16"/>
    </w:rPr>
  </w:style>
  <w:style w:type="paragraph" w:styleId="CommentText">
    <w:name w:val="annotation text"/>
    <w:basedOn w:val="Normal"/>
    <w:link w:val="CommentTextChar"/>
    <w:unhideWhenUsed/>
    <w:rsid w:val="00B87301"/>
  </w:style>
  <w:style w:type="character" w:customStyle="1" w:styleId="CommentTextChar">
    <w:name w:val="Comment Text Char"/>
    <w:basedOn w:val="DefaultParagraphFont"/>
    <w:link w:val="CommentText"/>
    <w:rsid w:val="00B873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B87301"/>
    <w:rPr>
      <w:b/>
      <w:bCs/>
    </w:rPr>
  </w:style>
  <w:style w:type="character" w:customStyle="1" w:styleId="CommentSubjectChar">
    <w:name w:val="Comment Subject Char"/>
    <w:basedOn w:val="CommentTextChar"/>
    <w:link w:val="CommentSubject"/>
    <w:rsid w:val="00B87301"/>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2B138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B138F"/>
    <w:rPr>
      <w:rFonts w:ascii="Calibri" w:hAnsi="Calibri"/>
      <w:szCs w:val="21"/>
    </w:rPr>
  </w:style>
  <w:style w:type="paragraph" w:styleId="Caption">
    <w:name w:val="caption"/>
    <w:basedOn w:val="Normal"/>
    <w:next w:val="Normal"/>
    <w:uiPriority w:val="35"/>
    <w:unhideWhenUsed/>
    <w:qFormat/>
    <w:rsid w:val="00652A9A"/>
    <w:pPr>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rsid w:val="00934AD6"/>
    <w:rPr>
      <w:rFonts w:ascii="Arial" w:eastAsiaTheme="majorEastAsia" w:hAnsi="Arial" w:cstheme="majorBidi"/>
      <w:b/>
      <w:bCs/>
      <w:color w:val="365F91" w:themeColor="accent1" w:themeShade="BF"/>
      <w:sz w:val="24"/>
      <w:szCs w:val="28"/>
    </w:rPr>
  </w:style>
  <w:style w:type="paragraph" w:styleId="TOCHeading">
    <w:name w:val="TOC Heading"/>
    <w:basedOn w:val="Heading1"/>
    <w:next w:val="Normal"/>
    <w:uiPriority w:val="39"/>
    <w:unhideWhenUsed/>
    <w:qFormat/>
    <w:rsid w:val="00396E59"/>
    <w:pPr>
      <w:spacing w:line="276" w:lineRule="auto"/>
      <w:outlineLvl w:val="9"/>
    </w:pPr>
    <w:rPr>
      <w:lang w:val="en-US" w:eastAsia="ja-JP"/>
    </w:rPr>
  </w:style>
  <w:style w:type="character" w:customStyle="1" w:styleId="Heading2Char">
    <w:name w:val="Heading 2 Char"/>
    <w:basedOn w:val="DefaultParagraphFont"/>
    <w:link w:val="Heading2"/>
    <w:rsid w:val="00934AD6"/>
    <w:rPr>
      <w:rFonts w:ascii="Arial" w:eastAsiaTheme="majorEastAsia" w:hAnsi="Arial" w:cstheme="majorBidi"/>
      <w:b/>
      <w:bCs/>
      <w:color w:val="4F81BD" w:themeColor="accent1"/>
      <w:sz w:val="24"/>
      <w:szCs w:val="26"/>
    </w:rPr>
  </w:style>
  <w:style w:type="character" w:customStyle="1" w:styleId="Heading3Char">
    <w:name w:val="Heading 3 Char"/>
    <w:basedOn w:val="DefaultParagraphFont"/>
    <w:link w:val="Heading3"/>
    <w:uiPriority w:val="9"/>
    <w:rsid w:val="00B25F07"/>
    <w:rPr>
      <w:rFonts w:ascii="Arial" w:eastAsiaTheme="majorEastAsia" w:hAnsi="Arial" w:cstheme="majorBidi"/>
      <w:b/>
      <w:bCs/>
      <w:i/>
      <w:color w:val="1F497D" w:themeColor="text2"/>
      <w:sz w:val="24"/>
      <w:szCs w:val="20"/>
    </w:rPr>
  </w:style>
  <w:style w:type="character" w:customStyle="1" w:styleId="Heading4Char">
    <w:name w:val="Heading 4 Char"/>
    <w:basedOn w:val="DefaultParagraphFont"/>
    <w:link w:val="Heading4"/>
    <w:uiPriority w:val="9"/>
    <w:rsid w:val="00934AD6"/>
    <w:rPr>
      <w:rFonts w:ascii="Arial" w:eastAsiaTheme="majorEastAsia" w:hAnsi="Arial" w:cstheme="majorBidi"/>
      <w:b/>
      <w:bCs/>
      <w:i/>
      <w:iCs/>
      <w:color w:val="4F81BD" w:themeColor="accent1"/>
      <w:sz w:val="24"/>
      <w:szCs w:val="20"/>
    </w:rPr>
  </w:style>
  <w:style w:type="paragraph" w:styleId="TOC1">
    <w:name w:val="toc 1"/>
    <w:basedOn w:val="Normal"/>
    <w:next w:val="Normal"/>
    <w:autoRedefine/>
    <w:uiPriority w:val="39"/>
    <w:unhideWhenUsed/>
    <w:rsid w:val="00FC3A84"/>
    <w:pPr>
      <w:spacing w:after="100"/>
    </w:pPr>
  </w:style>
  <w:style w:type="paragraph" w:styleId="TOC2">
    <w:name w:val="toc 2"/>
    <w:basedOn w:val="Normal"/>
    <w:next w:val="Normal"/>
    <w:autoRedefine/>
    <w:uiPriority w:val="39"/>
    <w:unhideWhenUsed/>
    <w:rsid w:val="00FC3A84"/>
    <w:pPr>
      <w:spacing w:after="100"/>
      <w:ind w:left="200"/>
    </w:pPr>
  </w:style>
  <w:style w:type="paragraph" w:styleId="TOC3">
    <w:name w:val="toc 3"/>
    <w:basedOn w:val="Normal"/>
    <w:next w:val="Normal"/>
    <w:autoRedefine/>
    <w:uiPriority w:val="39"/>
    <w:unhideWhenUsed/>
    <w:rsid w:val="00FC3A84"/>
    <w:pPr>
      <w:spacing w:after="100"/>
      <w:ind w:left="400"/>
    </w:pPr>
  </w:style>
  <w:style w:type="character" w:styleId="Hyperlink">
    <w:name w:val="Hyperlink"/>
    <w:basedOn w:val="DefaultParagraphFont"/>
    <w:unhideWhenUsed/>
    <w:rsid w:val="00FC3A84"/>
    <w:rPr>
      <w:color w:val="0000FF" w:themeColor="hyperlink"/>
      <w:u w:val="single"/>
    </w:rPr>
  </w:style>
  <w:style w:type="character" w:styleId="FollowedHyperlink">
    <w:name w:val="FollowedHyperlink"/>
    <w:basedOn w:val="DefaultParagraphFont"/>
    <w:uiPriority w:val="99"/>
    <w:semiHidden/>
    <w:unhideWhenUsed/>
    <w:rsid w:val="00B25F07"/>
    <w:rPr>
      <w:color w:val="800080" w:themeColor="followedHyperlink"/>
      <w:u w:val="single"/>
    </w:rPr>
  </w:style>
  <w:style w:type="paragraph" w:customStyle="1" w:styleId="LTU-Cover-Contactdetails">
    <w:name w:val="LTU - Cover - Contact details"/>
    <w:basedOn w:val="Normal"/>
    <w:qFormat/>
    <w:rsid w:val="00AC59A5"/>
    <w:pPr>
      <w:widowControl w:val="0"/>
      <w:tabs>
        <w:tab w:val="left" w:pos="170"/>
      </w:tabs>
      <w:autoSpaceDE w:val="0"/>
      <w:autoSpaceDN w:val="0"/>
      <w:adjustRightInd w:val="0"/>
      <w:textAlignment w:val="center"/>
    </w:pPr>
    <w:rPr>
      <w:rFonts w:ascii="Calibri" w:eastAsia="MS Mincho" w:hAnsi="Calibri" w:cs="Arial"/>
      <w:color w:val="565652"/>
      <w:sz w:val="18"/>
      <w:szCs w:val="18"/>
      <w:lang w:val="en-GB" w:eastAsia="en-AU"/>
    </w:rPr>
  </w:style>
  <w:style w:type="paragraph" w:customStyle="1" w:styleId="LTU-Cover-Subhead1">
    <w:name w:val="LTU - Cover - Subhead 1"/>
    <w:basedOn w:val="Normal"/>
    <w:qFormat/>
    <w:rsid w:val="00AC59A5"/>
    <w:pPr>
      <w:ind w:right="-482"/>
    </w:pPr>
    <w:rPr>
      <w:rFonts w:ascii="Calibri" w:eastAsia="Calibri" w:hAnsi="Calibri"/>
      <w:b/>
      <w:color w:val="625F5E"/>
      <w:sz w:val="18"/>
      <w:szCs w:val="18"/>
    </w:rPr>
  </w:style>
  <w:style w:type="paragraph" w:customStyle="1" w:styleId="LTU-Cover-DateVersion">
    <w:name w:val="LTU - Cover - Date / Version"/>
    <w:basedOn w:val="Normal"/>
    <w:qFormat/>
    <w:rsid w:val="00AC59A5"/>
    <w:pPr>
      <w:widowControl w:val="0"/>
      <w:autoSpaceDE w:val="0"/>
      <w:autoSpaceDN w:val="0"/>
      <w:adjustRightInd w:val="0"/>
      <w:textAlignment w:val="center"/>
    </w:pPr>
    <w:rPr>
      <w:rFonts w:ascii="Calibri" w:eastAsia="MS Mincho" w:hAnsi="Calibri" w:cs="Arial"/>
      <w:color w:val="565652"/>
      <w:lang w:val="en-GB" w:eastAsia="en-AU"/>
    </w:rPr>
  </w:style>
  <w:style w:type="paragraph" w:customStyle="1" w:styleId="LTU-Cover-Heading2">
    <w:name w:val="LTU - Cover - Heading 2"/>
    <w:basedOn w:val="Normal"/>
    <w:qFormat/>
    <w:rsid w:val="00AC59A5"/>
    <w:pPr>
      <w:widowControl w:val="0"/>
      <w:autoSpaceDE w:val="0"/>
      <w:autoSpaceDN w:val="0"/>
      <w:adjustRightInd w:val="0"/>
      <w:textAlignment w:val="center"/>
    </w:pPr>
    <w:rPr>
      <w:rFonts w:ascii="Georgia" w:eastAsia="MS Mincho" w:hAnsi="Georgia" w:cs="Georgia"/>
      <w:b/>
      <w:bCs/>
      <w:color w:val="FFFFFF"/>
      <w:sz w:val="36"/>
      <w:szCs w:val="36"/>
      <w:lang w:val="en-GB" w:eastAsia="en-AU"/>
    </w:rPr>
  </w:style>
  <w:style w:type="paragraph" w:customStyle="1" w:styleId="LTU-Cover-Heading3">
    <w:name w:val="LTU - Cover - Heading 3"/>
    <w:basedOn w:val="Normal"/>
    <w:qFormat/>
    <w:rsid w:val="00AC59A5"/>
    <w:pPr>
      <w:widowControl w:val="0"/>
      <w:autoSpaceDE w:val="0"/>
      <w:autoSpaceDN w:val="0"/>
      <w:adjustRightInd w:val="0"/>
      <w:textAlignment w:val="center"/>
    </w:pPr>
    <w:rPr>
      <w:rFonts w:ascii="Calibri" w:eastAsia="MS Mincho" w:hAnsi="Calibri" w:cs="Arial"/>
      <w:color w:val="FFFFFF"/>
      <w:sz w:val="26"/>
      <w:szCs w:val="26"/>
      <w:lang w:val="en-GB" w:eastAsia="en-AU"/>
    </w:rPr>
  </w:style>
  <w:style w:type="paragraph" w:customStyle="1" w:styleId="LTU-Header-DivisionSchoolResearchCentre">
    <w:name w:val="LTU - Header - Division / School / Research Centre"/>
    <w:basedOn w:val="Header"/>
    <w:qFormat/>
    <w:rsid w:val="00AC59A5"/>
    <w:pPr>
      <w:tabs>
        <w:tab w:val="clear" w:pos="4513"/>
        <w:tab w:val="clear" w:pos="9026"/>
      </w:tabs>
    </w:pPr>
    <w:rPr>
      <w:rFonts w:ascii="Calibri" w:eastAsia="Calibri" w:hAnsi="Calibri"/>
      <w:color w:val="696766"/>
      <w:sz w:val="18"/>
      <w:szCs w:val="18"/>
    </w:rPr>
  </w:style>
  <w:style w:type="paragraph" w:customStyle="1" w:styleId="LTU-Subhead1">
    <w:name w:val="LTU - Subhead 1"/>
    <w:basedOn w:val="Normal"/>
    <w:next w:val="LTU-Body10pt"/>
    <w:link w:val="LTU-Subhead1Char"/>
    <w:qFormat/>
    <w:rsid w:val="0014768F"/>
    <w:pPr>
      <w:autoSpaceDE w:val="0"/>
      <w:autoSpaceDN w:val="0"/>
      <w:adjustRightInd w:val="0"/>
      <w:spacing w:before="120" w:after="120" w:line="276" w:lineRule="auto"/>
      <w:textAlignment w:val="center"/>
    </w:pPr>
    <w:rPr>
      <w:rFonts w:eastAsia="Calibri" w:cs="Arial"/>
      <w:b/>
      <w:color w:val="AB2328"/>
      <w:sz w:val="25"/>
      <w:szCs w:val="25"/>
      <w:lang w:val="en-GB"/>
    </w:rPr>
  </w:style>
  <w:style w:type="paragraph" w:customStyle="1" w:styleId="LTU-Body10pt">
    <w:name w:val="LTU - Body 10pt"/>
    <w:basedOn w:val="Normal"/>
    <w:qFormat/>
    <w:rsid w:val="0014768F"/>
    <w:pPr>
      <w:spacing w:after="200" w:line="276" w:lineRule="auto"/>
    </w:pPr>
    <w:rPr>
      <w:rFonts w:ascii="Calibri" w:eastAsia="Calibri" w:hAnsi="Calibri" w:cs="Arial"/>
      <w:sz w:val="18"/>
      <w:szCs w:val="18"/>
    </w:rPr>
  </w:style>
  <w:style w:type="paragraph" w:customStyle="1" w:styleId="LTU-Subhead10pt">
    <w:name w:val="LTU - Subhead 1 0pt"/>
    <w:basedOn w:val="LTU-Subhead1"/>
    <w:link w:val="LTU-Subhead10ptChar"/>
    <w:qFormat/>
    <w:rsid w:val="0014768F"/>
    <w:pPr>
      <w:spacing w:before="0"/>
    </w:pPr>
  </w:style>
  <w:style w:type="paragraph" w:styleId="FootnoteText">
    <w:name w:val="footnote text"/>
    <w:basedOn w:val="Normal"/>
    <w:link w:val="FootnoteTextChar"/>
    <w:uiPriority w:val="99"/>
    <w:unhideWhenUsed/>
    <w:rsid w:val="0014768F"/>
    <w:rPr>
      <w:rFonts w:ascii="Calibri" w:eastAsia="Calibri" w:hAnsi="Calibri"/>
      <w:sz w:val="18"/>
      <w:szCs w:val="18"/>
    </w:rPr>
  </w:style>
  <w:style w:type="character" w:customStyle="1" w:styleId="FootnoteTextChar">
    <w:name w:val="Footnote Text Char"/>
    <w:basedOn w:val="DefaultParagraphFont"/>
    <w:link w:val="FootnoteText"/>
    <w:uiPriority w:val="99"/>
    <w:rsid w:val="0014768F"/>
    <w:rPr>
      <w:rFonts w:ascii="Calibri" w:eastAsia="Calibri" w:hAnsi="Calibri" w:cs="Times New Roman"/>
      <w:sz w:val="18"/>
      <w:szCs w:val="18"/>
    </w:rPr>
  </w:style>
  <w:style w:type="character" w:customStyle="1" w:styleId="LTU-Subhead1Char">
    <w:name w:val="LTU - Subhead 1 Char"/>
    <w:basedOn w:val="DefaultParagraphFont"/>
    <w:link w:val="LTU-Subhead1"/>
    <w:rsid w:val="0014768F"/>
    <w:rPr>
      <w:rFonts w:ascii="Times New Roman" w:eastAsia="Calibri" w:hAnsi="Times New Roman" w:cs="Arial"/>
      <w:b/>
      <w:color w:val="AB2328"/>
      <w:sz w:val="25"/>
      <w:szCs w:val="25"/>
      <w:lang w:val="en-GB"/>
    </w:rPr>
  </w:style>
  <w:style w:type="character" w:customStyle="1" w:styleId="LTU-Subhead10ptChar">
    <w:name w:val="LTU - Subhead 1 0pt Char"/>
    <w:basedOn w:val="LTU-Subhead1Char"/>
    <w:link w:val="LTU-Subhead10pt"/>
    <w:rsid w:val="0014768F"/>
    <w:rPr>
      <w:rFonts w:ascii="Times New Roman" w:eastAsia="Calibri" w:hAnsi="Times New Roman" w:cs="Arial"/>
      <w:b/>
      <w:color w:val="AB2328"/>
      <w:sz w:val="25"/>
      <w:szCs w:val="25"/>
      <w:lang w:val="en-GB"/>
    </w:rPr>
  </w:style>
  <w:style w:type="table" w:customStyle="1" w:styleId="TableGrid1">
    <w:name w:val="Table Grid1"/>
    <w:basedOn w:val="TableNormal"/>
    <w:next w:val="TableGrid"/>
    <w:uiPriority w:val="59"/>
    <w:rsid w:val="00A7079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32A08"/>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960163"/>
    <w:pPr>
      <w:widowControl w:val="0"/>
      <w:suppressAutoHyphens/>
      <w:spacing w:after="283" w:line="276" w:lineRule="auto"/>
    </w:pPr>
    <w:rPr>
      <w:rFonts w:eastAsia="SimSun" w:cs="Lucida Sans"/>
      <w:sz w:val="24"/>
      <w:szCs w:val="24"/>
      <w:lang w:eastAsia="zh-CN" w:bidi="hi-IN"/>
    </w:rPr>
  </w:style>
  <w:style w:type="character" w:styleId="FootnoteReference">
    <w:name w:val="footnote reference"/>
    <w:uiPriority w:val="99"/>
    <w:unhideWhenUsed/>
    <w:rsid w:val="00D524D5"/>
    <w:rPr>
      <w:vertAlign w:val="superscript"/>
    </w:rPr>
  </w:style>
  <w:style w:type="table" w:customStyle="1" w:styleId="TableGrid3">
    <w:name w:val="Table Grid3"/>
    <w:basedOn w:val="TableNormal"/>
    <w:next w:val="TableGrid"/>
    <w:uiPriority w:val="59"/>
    <w:locked/>
    <w:rsid w:val="00A14193"/>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contents">
    <w:name w:val="pagecontents"/>
    <w:basedOn w:val="Normal"/>
    <w:rsid w:val="00F5171A"/>
    <w:rPr>
      <w:rFonts w:ascii="Verdana" w:hAnsi="Verdana"/>
      <w:color w:val="000000"/>
      <w:sz w:val="17"/>
      <w:szCs w:val="17"/>
      <w:lang w:eastAsia="en-AU"/>
    </w:rPr>
  </w:style>
  <w:style w:type="numbering" w:customStyle="1" w:styleId="NoList1">
    <w:name w:val="No List1"/>
    <w:next w:val="NoList"/>
    <w:uiPriority w:val="99"/>
    <w:semiHidden/>
    <w:unhideWhenUsed/>
    <w:rsid w:val="001C116E"/>
  </w:style>
  <w:style w:type="paragraph" w:styleId="BodyText">
    <w:name w:val="Body Text"/>
    <w:basedOn w:val="Normal"/>
    <w:link w:val="BodyTextChar"/>
    <w:rsid w:val="001C116E"/>
    <w:rPr>
      <w:rFonts w:ascii="Arial" w:hAnsi="Arial"/>
      <w:i/>
      <w:sz w:val="22"/>
      <w:lang w:val="en-GB" w:eastAsia="en-GB"/>
    </w:rPr>
  </w:style>
  <w:style w:type="character" w:customStyle="1" w:styleId="BodyTextChar">
    <w:name w:val="Body Text Char"/>
    <w:basedOn w:val="DefaultParagraphFont"/>
    <w:link w:val="BodyText"/>
    <w:rsid w:val="001C116E"/>
    <w:rPr>
      <w:rFonts w:ascii="Arial" w:eastAsia="Times New Roman" w:hAnsi="Arial" w:cs="Times New Roman"/>
      <w:i/>
      <w:szCs w:val="20"/>
      <w:lang w:val="en-GB" w:eastAsia="en-GB"/>
    </w:rPr>
  </w:style>
  <w:style w:type="paragraph" w:styleId="BodyTextIndent">
    <w:name w:val="Body Text Indent"/>
    <w:basedOn w:val="Normal"/>
    <w:link w:val="BodyTextIndentChar"/>
    <w:rsid w:val="001C116E"/>
    <w:pPr>
      <w:ind w:left="720"/>
    </w:pPr>
    <w:rPr>
      <w:rFonts w:ascii="Arial" w:hAnsi="Arial"/>
      <w:sz w:val="22"/>
      <w:lang w:val="en-GB" w:eastAsia="en-GB"/>
    </w:rPr>
  </w:style>
  <w:style w:type="character" w:customStyle="1" w:styleId="BodyTextIndentChar">
    <w:name w:val="Body Text Indent Char"/>
    <w:basedOn w:val="DefaultParagraphFont"/>
    <w:link w:val="BodyTextIndent"/>
    <w:rsid w:val="001C116E"/>
    <w:rPr>
      <w:rFonts w:ascii="Arial" w:eastAsia="Times New Roman" w:hAnsi="Arial" w:cs="Times New Roman"/>
      <w:szCs w:val="20"/>
      <w:lang w:val="en-GB" w:eastAsia="en-GB"/>
    </w:rPr>
  </w:style>
  <w:style w:type="paragraph" w:styleId="BodyText2">
    <w:name w:val="Body Text 2"/>
    <w:basedOn w:val="Normal"/>
    <w:link w:val="BodyText2Char"/>
    <w:rsid w:val="001C116E"/>
    <w:rPr>
      <w:rFonts w:ascii="Arial" w:hAnsi="Arial"/>
      <w:lang w:val="en-GB" w:eastAsia="en-GB"/>
    </w:rPr>
  </w:style>
  <w:style w:type="character" w:customStyle="1" w:styleId="BodyText2Char">
    <w:name w:val="Body Text 2 Char"/>
    <w:basedOn w:val="DefaultParagraphFont"/>
    <w:link w:val="BodyText2"/>
    <w:rsid w:val="001C116E"/>
    <w:rPr>
      <w:rFonts w:ascii="Arial" w:eastAsia="Times New Roman" w:hAnsi="Arial" w:cs="Times New Roman"/>
      <w:sz w:val="20"/>
      <w:szCs w:val="20"/>
      <w:lang w:val="en-GB" w:eastAsia="en-GB"/>
    </w:rPr>
  </w:style>
  <w:style w:type="character" w:styleId="PageNumber">
    <w:name w:val="page number"/>
    <w:rsid w:val="001C116E"/>
  </w:style>
  <w:style w:type="table" w:customStyle="1" w:styleId="TableGrid4">
    <w:name w:val="Table Grid4"/>
    <w:basedOn w:val="TableNormal"/>
    <w:next w:val="TableGrid"/>
    <w:uiPriority w:val="59"/>
    <w:rsid w:val="001C11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Cheading">
    <w:name w:val="UKC heading"/>
    <w:basedOn w:val="Normal"/>
    <w:next w:val="Normal"/>
    <w:rsid w:val="001C116E"/>
    <w:pPr>
      <w:suppressAutoHyphens/>
    </w:pPr>
    <w:rPr>
      <w:rFonts w:ascii="Gill Alt One MT" w:hAnsi="Gill Alt One MT"/>
      <w:sz w:val="24"/>
      <w:szCs w:val="24"/>
      <w:lang w:val="en-GB" w:eastAsia="ar-SA"/>
    </w:rPr>
  </w:style>
  <w:style w:type="paragraph" w:customStyle="1" w:styleId="Qno">
    <w:name w:val="Qno"/>
    <w:basedOn w:val="Normal"/>
    <w:rsid w:val="001C116E"/>
    <w:pPr>
      <w:tabs>
        <w:tab w:val="left" w:pos="720"/>
      </w:tabs>
      <w:suppressAutoHyphens/>
      <w:ind w:left="720" w:hanging="360"/>
    </w:pPr>
    <w:rPr>
      <w:sz w:val="24"/>
      <w:szCs w:val="24"/>
      <w:lang w:val="en-GB" w:eastAsia="ar-SA"/>
    </w:rPr>
  </w:style>
  <w:style w:type="paragraph" w:styleId="Title">
    <w:name w:val="Title"/>
    <w:basedOn w:val="Normal"/>
    <w:next w:val="Subtitle"/>
    <w:link w:val="TitleChar"/>
    <w:qFormat/>
    <w:rsid w:val="001C116E"/>
    <w:pPr>
      <w:suppressAutoHyphens/>
      <w:spacing w:before="240" w:after="60"/>
      <w:jc w:val="center"/>
    </w:pPr>
    <w:rPr>
      <w:rFonts w:ascii="Gill Alt One MT" w:hAnsi="Gill Alt One MT"/>
      <w:b/>
      <w:kern w:val="1"/>
      <w:sz w:val="36"/>
      <w:szCs w:val="24"/>
      <w:lang w:val="en-GB" w:eastAsia="ar-SA"/>
    </w:rPr>
  </w:style>
  <w:style w:type="character" w:customStyle="1" w:styleId="TitleChar">
    <w:name w:val="Title Char"/>
    <w:basedOn w:val="DefaultParagraphFont"/>
    <w:link w:val="Title"/>
    <w:rsid w:val="001C116E"/>
    <w:rPr>
      <w:rFonts w:ascii="Gill Alt One MT" w:eastAsia="Times New Roman" w:hAnsi="Gill Alt One MT" w:cs="Times New Roman"/>
      <w:b/>
      <w:kern w:val="1"/>
      <w:sz w:val="36"/>
      <w:szCs w:val="24"/>
      <w:lang w:val="en-GB" w:eastAsia="ar-SA"/>
    </w:rPr>
  </w:style>
  <w:style w:type="paragraph" w:styleId="Subtitle">
    <w:name w:val="Subtitle"/>
    <w:basedOn w:val="Normal"/>
    <w:next w:val="Normal"/>
    <w:link w:val="SubtitleChar"/>
    <w:qFormat/>
    <w:rsid w:val="001C116E"/>
    <w:pPr>
      <w:spacing w:after="60"/>
      <w:jc w:val="center"/>
      <w:outlineLvl w:val="1"/>
    </w:pPr>
    <w:rPr>
      <w:rFonts w:ascii="Cambria" w:hAnsi="Cambria"/>
      <w:sz w:val="24"/>
      <w:szCs w:val="24"/>
      <w:lang w:val="en-GB" w:eastAsia="en-GB"/>
    </w:rPr>
  </w:style>
  <w:style w:type="character" w:customStyle="1" w:styleId="SubtitleChar">
    <w:name w:val="Subtitle Char"/>
    <w:basedOn w:val="DefaultParagraphFont"/>
    <w:link w:val="Subtitle"/>
    <w:rsid w:val="001C116E"/>
    <w:rPr>
      <w:rFonts w:ascii="Cambria" w:eastAsia="Times New Roman" w:hAnsi="Cambria" w:cs="Times New Roman"/>
      <w:sz w:val="24"/>
      <w:szCs w:val="24"/>
      <w:lang w:val="en-GB" w:eastAsia="en-GB"/>
    </w:rPr>
  </w:style>
  <w:style w:type="paragraph" w:styleId="BodyTextIndent2">
    <w:name w:val="Body Text Indent 2"/>
    <w:basedOn w:val="Normal"/>
    <w:link w:val="BodyTextIndent2Char"/>
    <w:rsid w:val="001C116E"/>
    <w:pPr>
      <w:spacing w:after="120" w:line="480" w:lineRule="auto"/>
      <w:ind w:left="283"/>
    </w:pPr>
    <w:rPr>
      <w:rFonts w:ascii="Arial" w:hAnsi="Arial"/>
      <w:sz w:val="22"/>
      <w:lang w:val="en-GB" w:eastAsia="en-GB"/>
    </w:rPr>
  </w:style>
  <w:style w:type="character" w:customStyle="1" w:styleId="BodyTextIndent2Char">
    <w:name w:val="Body Text Indent 2 Char"/>
    <w:basedOn w:val="DefaultParagraphFont"/>
    <w:link w:val="BodyTextIndent2"/>
    <w:rsid w:val="001C116E"/>
    <w:rPr>
      <w:rFonts w:ascii="Arial" w:eastAsia="Times New Roman" w:hAnsi="Arial" w:cs="Times New Roman"/>
      <w:szCs w:val="20"/>
      <w:lang w:val="en-GB" w:eastAsia="en-GB"/>
    </w:rPr>
  </w:style>
  <w:style w:type="paragraph" w:styleId="Revision">
    <w:name w:val="Revision"/>
    <w:hidden/>
    <w:uiPriority w:val="99"/>
    <w:semiHidden/>
    <w:rsid w:val="001C116E"/>
    <w:pPr>
      <w:spacing w:after="0" w:line="240" w:lineRule="auto"/>
    </w:pPr>
    <w:rPr>
      <w:rFonts w:ascii="Arial" w:eastAsia="Times New Roman" w:hAnsi="Arial" w:cs="Times New Roman"/>
      <w:szCs w:val="20"/>
      <w:lang w:val="en-GB" w:eastAsia="en-GB"/>
    </w:rPr>
  </w:style>
  <w:style w:type="paragraph" w:styleId="TOC4">
    <w:name w:val="toc 4"/>
    <w:basedOn w:val="Normal"/>
    <w:next w:val="Normal"/>
    <w:autoRedefine/>
    <w:uiPriority w:val="39"/>
    <w:unhideWhenUsed/>
    <w:rsid w:val="006931F6"/>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931F6"/>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931F6"/>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931F6"/>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931F6"/>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931F6"/>
    <w:pPr>
      <w:spacing w:after="100" w:line="276" w:lineRule="auto"/>
      <w:ind w:left="1760"/>
    </w:pPr>
    <w:rPr>
      <w:rFonts w:asciiTheme="minorHAnsi" w:eastAsiaTheme="minorEastAsia" w:hAnsiTheme="minorHAnsi" w:cstheme="minorBidi"/>
      <w:sz w:val="22"/>
      <w:szCs w:val="22"/>
      <w:lang w:eastAsia="en-AU"/>
    </w:rPr>
  </w:style>
  <w:style w:type="paragraph" w:styleId="NoSpacing">
    <w:name w:val="No Spacing"/>
    <w:link w:val="NoSpacingChar"/>
    <w:uiPriority w:val="1"/>
    <w:qFormat/>
    <w:rsid w:val="00163B3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3B34"/>
    <w:rPr>
      <w:rFonts w:eastAsiaTheme="minorEastAsia"/>
      <w:lang w:val="en-US"/>
    </w:rPr>
  </w:style>
  <w:style w:type="table" w:styleId="LightShading-Accent5">
    <w:name w:val="Light Shading Accent 5"/>
    <w:basedOn w:val="TableNormal"/>
    <w:uiPriority w:val="60"/>
    <w:rsid w:val="005F5F77"/>
    <w:pPr>
      <w:spacing w:after="0" w:line="240" w:lineRule="auto"/>
    </w:pPr>
    <w:rPr>
      <w:rFonts w:ascii="Arial" w:eastAsiaTheme="minorEastAsia" w:hAnsi="Arial"/>
      <w:color w:val="31849B" w:themeColor="accent5" w:themeShade="BF"/>
      <w:sz w:val="24"/>
      <w:szCs w:val="24"/>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9859E7"/>
    <w:pPr>
      <w:spacing w:after="0" w:line="240" w:lineRule="auto"/>
    </w:pPr>
    <w:rPr>
      <w:rFonts w:ascii="Arial" w:eastAsiaTheme="minorEastAsia" w:hAnsi="Arial"/>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756E55"/>
    <w:pPr>
      <w:spacing w:after="0" w:line="240" w:lineRule="auto"/>
    </w:pPr>
    <w:rPr>
      <w:rFonts w:ascii="Arial" w:eastAsiaTheme="minorEastAsia" w:hAnsi="Arial"/>
      <w:sz w:val="24"/>
      <w:szCs w:val="24"/>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756E55"/>
    <w:pPr>
      <w:spacing w:after="0" w:line="240" w:lineRule="auto"/>
    </w:pPr>
    <w:rPr>
      <w:rFonts w:ascii="Arial" w:eastAsiaTheme="minorEastAsia" w:hAnsi="Arial"/>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semiHidden/>
    <w:rsid w:val="00D54FEF"/>
    <w:rPr>
      <w:rFonts w:asciiTheme="majorHAnsi" w:eastAsiaTheme="majorEastAsia" w:hAnsiTheme="majorHAnsi" w:cstheme="majorBidi"/>
      <w:color w:val="365F91" w:themeColor="accent1" w:themeShade="BF"/>
      <w:sz w:val="20"/>
      <w:szCs w:val="20"/>
    </w:rPr>
  </w:style>
  <w:style w:type="character" w:customStyle="1" w:styleId="UnresolvedMention1">
    <w:name w:val="Unresolved Mention1"/>
    <w:basedOn w:val="DefaultParagraphFont"/>
    <w:uiPriority w:val="99"/>
    <w:rsid w:val="00AB6044"/>
    <w:rPr>
      <w:color w:val="808080"/>
      <w:shd w:val="clear" w:color="auto" w:fill="E6E6E6"/>
    </w:rPr>
  </w:style>
  <w:style w:type="paragraph" w:customStyle="1" w:styleId="bigby">
    <w:name w:val="bigby"/>
    <w:basedOn w:val="Normal"/>
    <w:autoRedefine/>
    <w:qFormat/>
    <w:rsid w:val="00AB6044"/>
    <w:pPr>
      <w:widowControl w:val="0"/>
      <w:autoSpaceDE w:val="0"/>
      <w:autoSpaceDN w:val="0"/>
      <w:adjustRightInd w:val="0"/>
      <w:spacing w:after="120"/>
    </w:pPr>
    <w:rPr>
      <w:rFonts w:eastAsiaTheme="minorHAnsi"/>
      <w:iCs/>
      <w:sz w:val="22"/>
      <w:szCs w:val="22"/>
    </w:rPr>
  </w:style>
  <w:style w:type="character" w:customStyle="1" w:styleId="author">
    <w:name w:val="author"/>
    <w:basedOn w:val="DefaultParagraphFont"/>
    <w:rsid w:val="00942A81"/>
  </w:style>
  <w:style w:type="character" w:customStyle="1" w:styleId="pubyear">
    <w:name w:val="pubyear"/>
    <w:basedOn w:val="DefaultParagraphFont"/>
    <w:rsid w:val="00942A81"/>
  </w:style>
  <w:style w:type="character" w:customStyle="1" w:styleId="chaptertitle">
    <w:name w:val="chaptertitle"/>
    <w:basedOn w:val="DefaultParagraphFont"/>
    <w:rsid w:val="00942A81"/>
  </w:style>
  <w:style w:type="character" w:customStyle="1" w:styleId="booktitle">
    <w:name w:val="booktitle"/>
    <w:basedOn w:val="DefaultParagraphFont"/>
    <w:rsid w:val="00942A81"/>
  </w:style>
  <w:style w:type="character" w:customStyle="1" w:styleId="editor">
    <w:name w:val="editor"/>
    <w:basedOn w:val="DefaultParagraphFont"/>
    <w:rsid w:val="00942A81"/>
  </w:style>
  <w:style w:type="character" w:customStyle="1" w:styleId="pagefirst">
    <w:name w:val="pagefirst"/>
    <w:basedOn w:val="DefaultParagraphFont"/>
    <w:rsid w:val="00942A81"/>
  </w:style>
  <w:style w:type="character" w:customStyle="1" w:styleId="pagelast">
    <w:name w:val="pagelast"/>
    <w:basedOn w:val="DefaultParagraphFont"/>
    <w:rsid w:val="00942A81"/>
  </w:style>
  <w:style w:type="character" w:customStyle="1" w:styleId="publisherlocation">
    <w:name w:val="publisherlocation"/>
    <w:basedOn w:val="DefaultParagraphFont"/>
    <w:rsid w:val="00942A81"/>
  </w:style>
  <w:style w:type="character" w:customStyle="1" w:styleId="apple-converted-space">
    <w:name w:val="apple-converted-space"/>
    <w:basedOn w:val="DefaultParagraphFont"/>
    <w:rsid w:val="00C64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8388">
      <w:bodyDiv w:val="1"/>
      <w:marLeft w:val="0"/>
      <w:marRight w:val="0"/>
      <w:marTop w:val="0"/>
      <w:marBottom w:val="0"/>
      <w:divBdr>
        <w:top w:val="none" w:sz="0" w:space="0" w:color="auto"/>
        <w:left w:val="none" w:sz="0" w:space="0" w:color="auto"/>
        <w:bottom w:val="none" w:sz="0" w:space="0" w:color="auto"/>
        <w:right w:val="none" w:sz="0" w:space="0" w:color="auto"/>
      </w:divBdr>
    </w:div>
    <w:div w:id="179858881">
      <w:bodyDiv w:val="1"/>
      <w:marLeft w:val="0"/>
      <w:marRight w:val="0"/>
      <w:marTop w:val="0"/>
      <w:marBottom w:val="0"/>
      <w:divBdr>
        <w:top w:val="none" w:sz="0" w:space="0" w:color="auto"/>
        <w:left w:val="none" w:sz="0" w:space="0" w:color="auto"/>
        <w:bottom w:val="none" w:sz="0" w:space="0" w:color="auto"/>
        <w:right w:val="none" w:sz="0" w:space="0" w:color="auto"/>
      </w:divBdr>
    </w:div>
    <w:div w:id="404226874">
      <w:bodyDiv w:val="1"/>
      <w:marLeft w:val="0"/>
      <w:marRight w:val="0"/>
      <w:marTop w:val="0"/>
      <w:marBottom w:val="0"/>
      <w:divBdr>
        <w:top w:val="none" w:sz="0" w:space="0" w:color="auto"/>
        <w:left w:val="none" w:sz="0" w:space="0" w:color="auto"/>
        <w:bottom w:val="none" w:sz="0" w:space="0" w:color="auto"/>
        <w:right w:val="none" w:sz="0" w:space="0" w:color="auto"/>
      </w:divBdr>
    </w:div>
    <w:div w:id="430399396">
      <w:bodyDiv w:val="1"/>
      <w:marLeft w:val="0"/>
      <w:marRight w:val="0"/>
      <w:marTop w:val="0"/>
      <w:marBottom w:val="0"/>
      <w:divBdr>
        <w:top w:val="none" w:sz="0" w:space="0" w:color="auto"/>
        <w:left w:val="none" w:sz="0" w:space="0" w:color="auto"/>
        <w:bottom w:val="none" w:sz="0" w:space="0" w:color="auto"/>
        <w:right w:val="none" w:sz="0" w:space="0" w:color="auto"/>
      </w:divBdr>
    </w:div>
    <w:div w:id="435054388">
      <w:bodyDiv w:val="1"/>
      <w:marLeft w:val="0"/>
      <w:marRight w:val="0"/>
      <w:marTop w:val="0"/>
      <w:marBottom w:val="0"/>
      <w:divBdr>
        <w:top w:val="none" w:sz="0" w:space="0" w:color="auto"/>
        <w:left w:val="none" w:sz="0" w:space="0" w:color="auto"/>
        <w:bottom w:val="none" w:sz="0" w:space="0" w:color="auto"/>
        <w:right w:val="none" w:sz="0" w:space="0" w:color="auto"/>
      </w:divBdr>
    </w:div>
    <w:div w:id="537358349">
      <w:bodyDiv w:val="1"/>
      <w:marLeft w:val="0"/>
      <w:marRight w:val="0"/>
      <w:marTop w:val="0"/>
      <w:marBottom w:val="0"/>
      <w:divBdr>
        <w:top w:val="none" w:sz="0" w:space="0" w:color="auto"/>
        <w:left w:val="none" w:sz="0" w:space="0" w:color="auto"/>
        <w:bottom w:val="none" w:sz="0" w:space="0" w:color="auto"/>
        <w:right w:val="none" w:sz="0" w:space="0" w:color="auto"/>
      </w:divBdr>
    </w:div>
    <w:div w:id="773018535">
      <w:bodyDiv w:val="1"/>
      <w:marLeft w:val="0"/>
      <w:marRight w:val="0"/>
      <w:marTop w:val="0"/>
      <w:marBottom w:val="0"/>
      <w:divBdr>
        <w:top w:val="none" w:sz="0" w:space="0" w:color="auto"/>
        <w:left w:val="none" w:sz="0" w:space="0" w:color="auto"/>
        <w:bottom w:val="none" w:sz="0" w:space="0" w:color="auto"/>
        <w:right w:val="none" w:sz="0" w:space="0" w:color="auto"/>
      </w:divBdr>
    </w:div>
    <w:div w:id="811287781">
      <w:bodyDiv w:val="1"/>
      <w:marLeft w:val="0"/>
      <w:marRight w:val="0"/>
      <w:marTop w:val="0"/>
      <w:marBottom w:val="0"/>
      <w:divBdr>
        <w:top w:val="none" w:sz="0" w:space="0" w:color="auto"/>
        <w:left w:val="none" w:sz="0" w:space="0" w:color="auto"/>
        <w:bottom w:val="none" w:sz="0" w:space="0" w:color="auto"/>
        <w:right w:val="none" w:sz="0" w:space="0" w:color="auto"/>
      </w:divBdr>
    </w:div>
    <w:div w:id="920942161">
      <w:bodyDiv w:val="1"/>
      <w:marLeft w:val="0"/>
      <w:marRight w:val="0"/>
      <w:marTop w:val="0"/>
      <w:marBottom w:val="0"/>
      <w:divBdr>
        <w:top w:val="none" w:sz="0" w:space="0" w:color="auto"/>
        <w:left w:val="none" w:sz="0" w:space="0" w:color="auto"/>
        <w:bottom w:val="none" w:sz="0" w:space="0" w:color="auto"/>
        <w:right w:val="none" w:sz="0" w:space="0" w:color="auto"/>
      </w:divBdr>
    </w:div>
    <w:div w:id="928468006">
      <w:bodyDiv w:val="1"/>
      <w:marLeft w:val="0"/>
      <w:marRight w:val="0"/>
      <w:marTop w:val="0"/>
      <w:marBottom w:val="0"/>
      <w:divBdr>
        <w:top w:val="none" w:sz="0" w:space="0" w:color="auto"/>
        <w:left w:val="none" w:sz="0" w:space="0" w:color="auto"/>
        <w:bottom w:val="none" w:sz="0" w:space="0" w:color="auto"/>
        <w:right w:val="none" w:sz="0" w:space="0" w:color="auto"/>
      </w:divBdr>
      <w:divsChild>
        <w:div w:id="625548071">
          <w:marLeft w:val="0"/>
          <w:marRight w:val="0"/>
          <w:marTop w:val="0"/>
          <w:marBottom w:val="0"/>
          <w:divBdr>
            <w:top w:val="none" w:sz="0" w:space="0" w:color="auto"/>
            <w:left w:val="none" w:sz="0" w:space="0" w:color="auto"/>
            <w:bottom w:val="none" w:sz="0" w:space="0" w:color="auto"/>
            <w:right w:val="none" w:sz="0" w:space="0" w:color="auto"/>
          </w:divBdr>
        </w:div>
      </w:divsChild>
    </w:div>
    <w:div w:id="949556351">
      <w:bodyDiv w:val="1"/>
      <w:marLeft w:val="0"/>
      <w:marRight w:val="0"/>
      <w:marTop w:val="0"/>
      <w:marBottom w:val="0"/>
      <w:divBdr>
        <w:top w:val="none" w:sz="0" w:space="0" w:color="auto"/>
        <w:left w:val="none" w:sz="0" w:space="0" w:color="auto"/>
        <w:bottom w:val="none" w:sz="0" w:space="0" w:color="auto"/>
        <w:right w:val="none" w:sz="0" w:space="0" w:color="auto"/>
      </w:divBdr>
    </w:div>
    <w:div w:id="1003699689">
      <w:bodyDiv w:val="1"/>
      <w:marLeft w:val="0"/>
      <w:marRight w:val="0"/>
      <w:marTop w:val="0"/>
      <w:marBottom w:val="0"/>
      <w:divBdr>
        <w:top w:val="none" w:sz="0" w:space="0" w:color="auto"/>
        <w:left w:val="none" w:sz="0" w:space="0" w:color="auto"/>
        <w:bottom w:val="none" w:sz="0" w:space="0" w:color="auto"/>
        <w:right w:val="none" w:sz="0" w:space="0" w:color="auto"/>
      </w:divBdr>
    </w:div>
    <w:div w:id="1010566167">
      <w:bodyDiv w:val="1"/>
      <w:marLeft w:val="0"/>
      <w:marRight w:val="0"/>
      <w:marTop w:val="0"/>
      <w:marBottom w:val="0"/>
      <w:divBdr>
        <w:top w:val="none" w:sz="0" w:space="0" w:color="auto"/>
        <w:left w:val="none" w:sz="0" w:space="0" w:color="auto"/>
        <w:bottom w:val="none" w:sz="0" w:space="0" w:color="auto"/>
        <w:right w:val="none" w:sz="0" w:space="0" w:color="auto"/>
      </w:divBdr>
    </w:div>
    <w:div w:id="1489787708">
      <w:bodyDiv w:val="1"/>
      <w:marLeft w:val="0"/>
      <w:marRight w:val="0"/>
      <w:marTop w:val="0"/>
      <w:marBottom w:val="0"/>
      <w:divBdr>
        <w:top w:val="none" w:sz="0" w:space="0" w:color="auto"/>
        <w:left w:val="none" w:sz="0" w:space="0" w:color="auto"/>
        <w:bottom w:val="none" w:sz="0" w:space="0" w:color="auto"/>
        <w:right w:val="none" w:sz="0" w:space="0" w:color="auto"/>
      </w:divBdr>
    </w:div>
    <w:div w:id="1516915664">
      <w:bodyDiv w:val="1"/>
      <w:marLeft w:val="0"/>
      <w:marRight w:val="0"/>
      <w:marTop w:val="0"/>
      <w:marBottom w:val="0"/>
      <w:divBdr>
        <w:top w:val="none" w:sz="0" w:space="0" w:color="auto"/>
        <w:left w:val="none" w:sz="0" w:space="0" w:color="auto"/>
        <w:bottom w:val="none" w:sz="0" w:space="0" w:color="auto"/>
        <w:right w:val="none" w:sz="0" w:space="0" w:color="auto"/>
      </w:divBdr>
    </w:div>
    <w:div w:id="1534801492">
      <w:bodyDiv w:val="1"/>
      <w:marLeft w:val="0"/>
      <w:marRight w:val="0"/>
      <w:marTop w:val="0"/>
      <w:marBottom w:val="0"/>
      <w:divBdr>
        <w:top w:val="none" w:sz="0" w:space="0" w:color="auto"/>
        <w:left w:val="none" w:sz="0" w:space="0" w:color="auto"/>
        <w:bottom w:val="none" w:sz="0" w:space="0" w:color="auto"/>
        <w:right w:val="none" w:sz="0" w:space="0" w:color="auto"/>
      </w:divBdr>
    </w:div>
    <w:div w:id="1567833835">
      <w:bodyDiv w:val="1"/>
      <w:marLeft w:val="0"/>
      <w:marRight w:val="0"/>
      <w:marTop w:val="0"/>
      <w:marBottom w:val="0"/>
      <w:divBdr>
        <w:top w:val="none" w:sz="0" w:space="0" w:color="auto"/>
        <w:left w:val="none" w:sz="0" w:space="0" w:color="auto"/>
        <w:bottom w:val="none" w:sz="0" w:space="0" w:color="auto"/>
        <w:right w:val="none" w:sz="0" w:space="0" w:color="auto"/>
      </w:divBdr>
    </w:div>
    <w:div w:id="1731732742">
      <w:bodyDiv w:val="1"/>
      <w:marLeft w:val="0"/>
      <w:marRight w:val="0"/>
      <w:marTop w:val="0"/>
      <w:marBottom w:val="0"/>
      <w:divBdr>
        <w:top w:val="none" w:sz="0" w:space="0" w:color="auto"/>
        <w:left w:val="none" w:sz="0" w:space="0" w:color="auto"/>
        <w:bottom w:val="none" w:sz="0" w:space="0" w:color="auto"/>
        <w:right w:val="none" w:sz="0" w:space="0" w:color="auto"/>
      </w:divBdr>
    </w:div>
    <w:div w:id="1743596699">
      <w:bodyDiv w:val="1"/>
      <w:marLeft w:val="0"/>
      <w:marRight w:val="0"/>
      <w:marTop w:val="0"/>
      <w:marBottom w:val="0"/>
      <w:divBdr>
        <w:top w:val="none" w:sz="0" w:space="0" w:color="auto"/>
        <w:left w:val="none" w:sz="0" w:space="0" w:color="auto"/>
        <w:bottom w:val="none" w:sz="0" w:space="0" w:color="auto"/>
        <w:right w:val="none" w:sz="0" w:space="0" w:color="auto"/>
      </w:divBdr>
    </w:div>
    <w:div w:id="1831866884">
      <w:bodyDiv w:val="1"/>
      <w:marLeft w:val="0"/>
      <w:marRight w:val="0"/>
      <w:marTop w:val="0"/>
      <w:marBottom w:val="0"/>
      <w:divBdr>
        <w:top w:val="none" w:sz="0" w:space="0" w:color="auto"/>
        <w:left w:val="none" w:sz="0" w:space="0" w:color="auto"/>
        <w:bottom w:val="none" w:sz="0" w:space="0" w:color="auto"/>
        <w:right w:val="none" w:sz="0" w:space="0" w:color="auto"/>
      </w:divBdr>
    </w:div>
    <w:div w:id="1857619943">
      <w:bodyDiv w:val="1"/>
      <w:marLeft w:val="0"/>
      <w:marRight w:val="0"/>
      <w:marTop w:val="0"/>
      <w:marBottom w:val="0"/>
      <w:divBdr>
        <w:top w:val="none" w:sz="0" w:space="0" w:color="auto"/>
        <w:left w:val="none" w:sz="0" w:space="0" w:color="auto"/>
        <w:bottom w:val="none" w:sz="0" w:space="0" w:color="auto"/>
        <w:right w:val="none" w:sz="0" w:space="0" w:color="auto"/>
      </w:divBdr>
    </w:div>
    <w:div w:id="2086757564">
      <w:bodyDiv w:val="1"/>
      <w:marLeft w:val="0"/>
      <w:marRight w:val="0"/>
      <w:marTop w:val="0"/>
      <w:marBottom w:val="0"/>
      <w:divBdr>
        <w:top w:val="none" w:sz="0" w:space="0" w:color="auto"/>
        <w:left w:val="none" w:sz="0" w:space="0" w:color="auto"/>
        <w:bottom w:val="none" w:sz="0" w:space="0" w:color="auto"/>
        <w:right w:val="none" w:sz="0" w:space="0" w:color="auto"/>
      </w:divBdr>
    </w:div>
    <w:div w:id="2109960436">
      <w:bodyDiv w:val="1"/>
      <w:marLeft w:val="0"/>
      <w:marRight w:val="0"/>
      <w:marTop w:val="0"/>
      <w:marBottom w:val="0"/>
      <w:divBdr>
        <w:top w:val="none" w:sz="0" w:space="0" w:color="auto"/>
        <w:left w:val="none" w:sz="0" w:space="0" w:color="auto"/>
        <w:bottom w:val="none" w:sz="0" w:space="0" w:color="auto"/>
        <w:right w:val="none" w:sz="0" w:space="0" w:color="auto"/>
      </w:divBdr>
    </w:div>
    <w:div w:id="213883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dl.handle.net/1959.9/562870" TargetMode="External"/><Relationship Id="rId18" Type="http://schemas.openxmlformats.org/officeDocument/2006/relationships/footer" Target="footer2.xml"/><Relationship Id="rId26" Type="http://schemas.openxmlformats.org/officeDocument/2006/relationships/hyperlink" Target="http://eprints.uwe.ac.uk/30034" TargetMode="External"/><Relationship Id="rId39" Type="http://schemas.openxmlformats.org/officeDocument/2006/relationships/hyperlink" Target="http://www.who.int/mediacentre/factsheets/en/" TargetMode="External"/><Relationship Id="rId3" Type="http://schemas.openxmlformats.org/officeDocument/2006/relationships/styles" Target="styles.xml"/><Relationship Id="rId21" Type="http://schemas.openxmlformats.org/officeDocument/2006/relationships/hyperlink" Target="http://onlinelibrary.wiley.com/doi/10.1111/jir.12208/abstract" TargetMode="External"/><Relationship Id="rId34" Type="http://schemas.openxmlformats.org/officeDocument/2006/relationships/hyperlink" Target="http://ssrn.com/abstract=2133332" TargetMode="Externa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yperlink" Target="http://aaiddjournals.org/doi/abs/10.1352/1934-9556-50.06.452" TargetMode="External"/><Relationship Id="rId33" Type="http://schemas.openxmlformats.org/officeDocument/2006/relationships/hyperlink" Target="https://www.nds.org.au/resources/zero-tolerance" TargetMode="External"/><Relationship Id="rId38" Type="http://schemas.openxmlformats.org/officeDocument/2006/relationships/hyperlink" Target="https://www.ombudsman.vic.gov.au/getattachment/c6499f78-0eec-4e4a-8e94-e4cd716a64f8"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legislation.vic.gov.au/Domino/Web_Notes/LDMS/PubStatbook.../06-023a.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onlinelibrary.wiley.com/doi/10.1111/jar.12128/abstract" TargetMode="External"/><Relationship Id="rId32" Type="http://schemas.openxmlformats.org/officeDocument/2006/relationships/hyperlink" Target="http://www.stvp.org.au/documents/Compendium/Tools,%20Guidelines%20and%20Internal%20Policy%20Development/Abuse%20Prevention%20Strategies%20in%20Specialist%20Disability%20Services%20AUS%202002.pdf" TargetMode="External"/><Relationship Id="rId37" Type="http://schemas.openxmlformats.org/officeDocument/2006/relationships/hyperlink" Target="http://www.refworld.org/docid/45f973632.html"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hdl.handle.net/1959.9/553198" TargetMode="External"/><Relationship Id="rId28" Type="http://schemas.openxmlformats.org/officeDocument/2006/relationships/hyperlink" Target="https://www.jobaccess.gov.au/people-with-disability/do-you-need-report-abuse-or-neglect-people-with-disability" TargetMode="External"/><Relationship Id="rId36" Type="http://schemas.openxmlformats.org/officeDocument/2006/relationships/hyperlink" Target="http://a4.org.au/sites/default/files/CDA%20Enabling%20and%20Protecting%20Issues%20nPaper.pdf" TargetMode="External"/><Relationship Id="rId10" Type="http://schemas.openxmlformats.org/officeDocument/2006/relationships/image" Target="media/image2.emf"/><Relationship Id="rId19" Type="http://schemas.openxmlformats.org/officeDocument/2006/relationships/header" Target="header2.xml"/><Relationship Id="rId31" Type="http://schemas.openxmlformats.org/officeDocument/2006/relationships/hyperlink" Target="http://www.tandfonline.com/doi/full/10.1080/23297018.2014.956385"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aaiddjournals.org/doi/abs/10.1352/1934-9556-52.5.348" TargetMode="External"/><Relationship Id="rId27" Type="http://schemas.openxmlformats.org/officeDocument/2006/relationships/hyperlink" Target="http://www.dh.gov.uk/en/Publicationsandstatistics/Publications/PublicationsPolicyAndGuidance/DH_126748" TargetMode="External"/><Relationship Id="rId30" Type="http://schemas.openxmlformats.org/officeDocument/2006/relationships/hyperlink" Target="http://wwda.org.au/wp-content/uploads/2013/12/STV_Background_Paper_FINAL.pdf" TargetMode="External"/><Relationship Id="rId35" Type="http://schemas.openxmlformats.org/officeDocument/2006/relationships/hyperlink" Target="https://www.parliament.vic.gov.au/file_uploads/FCDC_-_Inquiry_into_abuse_in_disability_services_HtW37zgf.pdf" TargetMode="Externa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000CB-0D0B-43C4-BF54-470455B8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16136</Words>
  <Characters>91981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107902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Bigby</dc:creator>
  <cp:lastModifiedBy>Hilary A Fisher </cp:lastModifiedBy>
  <cp:revision>2</cp:revision>
  <cp:lastPrinted>2017-10-06T04:00:00Z</cp:lastPrinted>
  <dcterms:created xsi:type="dcterms:W3CDTF">2018-06-29T01:02:00Z</dcterms:created>
  <dcterms:modified xsi:type="dcterms:W3CDTF">2018-06-29T01:02:00Z</dcterms:modified>
</cp:coreProperties>
</file>