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ABFB" w14:textId="45E4CA4F" w:rsidR="009B4A01" w:rsidRDefault="009B4A01" w:rsidP="009B4A01">
      <w:pPr>
        <w:pStyle w:val="Title"/>
      </w:pPr>
      <w:r>
        <w:t xml:space="preserve">Supporting document for </w:t>
      </w:r>
      <w:r>
        <w:br/>
      </w:r>
      <w:r>
        <w:t>Let’s talk about deteriorating health poster</w:t>
      </w:r>
    </w:p>
    <w:p w14:paraId="5E317979" w14:textId="77777777" w:rsidR="009B4A01" w:rsidRPr="00E57905" w:rsidRDefault="009B4A01" w:rsidP="009B4A01">
      <w:pPr>
        <w:pStyle w:val="Subtitle"/>
      </w:pPr>
      <w:r>
        <w:t>Accessible</w:t>
      </w:r>
    </w:p>
    <w:p w14:paraId="2B0E0720" w14:textId="77777777" w:rsidR="009B4A01" w:rsidRDefault="009B4A01" w:rsidP="009B4A01">
      <w:r>
        <w:t>Please use the questions on this page for a team discussion with the aim to increase understanding and awareness of the issues.</w:t>
      </w:r>
    </w:p>
    <w:p w14:paraId="54342D3E" w14:textId="67B01CBF" w:rsidR="009B4A01" w:rsidRPr="009B4A01" w:rsidRDefault="009B4A01" w:rsidP="009B4A01">
      <w:pPr>
        <w:pStyle w:val="ListParagraph"/>
        <w:numPr>
          <w:ilvl w:val="0"/>
          <w:numId w:val="3"/>
        </w:numPr>
        <w:ind w:left="851" w:hanging="851"/>
      </w:pPr>
      <w:r w:rsidRPr="009B4A01">
        <w:t>When have you noticed something different or something concerning about a person you support?</w:t>
      </w:r>
    </w:p>
    <w:p w14:paraId="70B87C76" w14:textId="77606935" w:rsidR="009B4A01" w:rsidRPr="009B4A01" w:rsidRDefault="009B4A01" w:rsidP="009B4A01">
      <w:pPr>
        <w:pStyle w:val="ListParagraph"/>
        <w:numPr>
          <w:ilvl w:val="0"/>
          <w:numId w:val="3"/>
        </w:numPr>
        <w:ind w:left="851" w:hanging="851"/>
      </w:pPr>
      <w:r w:rsidRPr="009B4A01">
        <w:t>What did you notice?</w:t>
      </w:r>
    </w:p>
    <w:p w14:paraId="708BAC02" w14:textId="48B11350" w:rsidR="009B4A01" w:rsidRPr="009B4A01" w:rsidRDefault="009B4A01" w:rsidP="009B4A01">
      <w:pPr>
        <w:pStyle w:val="ListParagraph"/>
        <w:numPr>
          <w:ilvl w:val="0"/>
          <w:numId w:val="3"/>
        </w:numPr>
        <w:ind w:left="851" w:hanging="851"/>
      </w:pPr>
      <w:r w:rsidRPr="009B4A01">
        <w:t>Who would you talk to about this? (i.e. my supervisor, GP, Nurse on Call)</w:t>
      </w:r>
    </w:p>
    <w:p w14:paraId="3952AD5B" w14:textId="4C3EB49C" w:rsidR="009B4A01" w:rsidRPr="009B4A01" w:rsidRDefault="009B4A01" w:rsidP="009B4A01">
      <w:pPr>
        <w:pStyle w:val="ListParagraph"/>
        <w:numPr>
          <w:ilvl w:val="0"/>
          <w:numId w:val="3"/>
        </w:numPr>
        <w:ind w:left="851" w:hanging="851"/>
      </w:pPr>
      <w:r w:rsidRPr="009B4A01">
        <w:t>What action can you take and how would you record this?</w:t>
      </w:r>
    </w:p>
    <w:p w14:paraId="33D153CD" w14:textId="1CA3A8A1" w:rsidR="009B4A01" w:rsidRPr="009B4A01" w:rsidRDefault="009B4A01" w:rsidP="009B4A01">
      <w:pPr>
        <w:pStyle w:val="ListParagraph"/>
        <w:numPr>
          <w:ilvl w:val="0"/>
          <w:numId w:val="3"/>
        </w:numPr>
        <w:ind w:left="851" w:hanging="851"/>
      </w:pPr>
      <w:r w:rsidRPr="009B4A01">
        <w:t>Does the person have a specific health management plan or health alert that could help you in this situation?</w:t>
      </w:r>
    </w:p>
    <w:p w14:paraId="0088ADDA" w14:textId="4D88E7CD" w:rsidR="009B4A01" w:rsidRPr="009B4A01" w:rsidRDefault="009B4A01" w:rsidP="009B4A01">
      <w:pPr>
        <w:pStyle w:val="ListParagraph"/>
        <w:numPr>
          <w:ilvl w:val="0"/>
          <w:numId w:val="3"/>
        </w:numPr>
        <w:ind w:left="851" w:hanging="851"/>
      </w:pPr>
      <w:r w:rsidRPr="009B4A01">
        <w:t xml:space="preserve">What other training or professional development do you need to feel confident in </w:t>
      </w:r>
    </w:p>
    <w:p w14:paraId="16823786" w14:textId="77777777" w:rsidR="009B4A01" w:rsidRDefault="009B4A01" w:rsidP="009B4A01">
      <w:pPr>
        <w:pStyle w:val="Heading1"/>
      </w:pPr>
      <w:r>
        <w:t>If you notice signs that are unusual for a person - take action!</w:t>
      </w:r>
    </w:p>
    <w:p w14:paraId="2F5AF86A" w14:textId="77777777" w:rsidR="009B4A01" w:rsidRDefault="009B4A01" w:rsidP="009B4A01">
      <w:pPr>
        <w:pStyle w:val="ListParagraph"/>
        <w:numPr>
          <w:ilvl w:val="0"/>
          <w:numId w:val="4"/>
        </w:numPr>
        <w:ind w:left="851" w:hanging="851"/>
      </w:pPr>
      <w:r w:rsidRPr="009B4A01">
        <w:t>Observe the person for signs of deteriorating health</w:t>
      </w:r>
    </w:p>
    <w:p w14:paraId="6280C599" w14:textId="66178520" w:rsidR="009B4A01" w:rsidRPr="009B4A01" w:rsidRDefault="009B4A01" w:rsidP="009B4A01">
      <w:pPr>
        <w:pStyle w:val="ListParagraph"/>
        <w:numPr>
          <w:ilvl w:val="0"/>
          <w:numId w:val="4"/>
        </w:numPr>
        <w:ind w:left="851" w:hanging="851"/>
      </w:pPr>
      <w:r w:rsidRPr="009B4A01">
        <w:t>Identify when urgent medical attention is required</w:t>
      </w:r>
    </w:p>
    <w:p w14:paraId="2B6E2AAF" w14:textId="5048DEC5" w:rsidR="009B4A01" w:rsidRPr="009B4A01" w:rsidRDefault="009B4A01" w:rsidP="009B4A01">
      <w:pPr>
        <w:pStyle w:val="ListParagraph"/>
        <w:numPr>
          <w:ilvl w:val="0"/>
          <w:numId w:val="4"/>
        </w:numPr>
        <w:ind w:left="851" w:hanging="851"/>
      </w:pPr>
      <w:r w:rsidRPr="009B4A01">
        <w:t>Seek advice and support if you are unsure. Have the person’s health file on hand and be ready to answer questions about the current symptoms.</w:t>
      </w:r>
    </w:p>
    <w:p w14:paraId="3C6835A5" w14:textId="77777777" w:rsidR="009B4A01" w:rsidRDefault="009B4A01" w:rsidP="009B4A01">
      <w:r>
        <w:t>If you see the signs, you must do something</w:t>
      </w:r>
    </w:p>
    <w:p w14:paraId="4EFEF372" w14:textId="77777777" w:rsidR="009B4A01" w:rsidRDefault="009B4A01" w:rsidP="009B4A01">
      <w:pPr>
        <w:pStyle w:val="Heading1"/>
      </w:pPr>
      <w:r>
        <w:rPr>
          <w:noProof/>
        </w:rPr>
        <w:lastRenderedPageBreak/>
        <w:drawing>
          <wp:inline distT="0" distB="0" distL="0" distR="0" wp14:anchorId="2237445C" wp14:editId="3D464D85">
            <wp:extent cx="3328268" cy="3403421"/>
            <wp:effectExtent l="0" t="0" r="5715" b="6985"/>
            <wp:docPr id="1" name="Picture 1" descr="illustration of woman making sure another woman is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ion of woman making sure another woman is OK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8268" cy="340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ED785" w14:textId="2FE71435" w:rsidR="009B4A01" w:rsidRDefault="009B4A01" w:rsidP="009B4A01">
      <w:pPr>
        <w:pStyle w:val="Heading1"/>
      </w:pPr>
      <w:r>
        <w:t>Further information</w:t>
      </w:r>
    </w:p>
    <w:p w14:paraId="73FEB991" w14:textId="77777777" w:rsidR="009B4A01" w:rsidRDefault="009B4A01" w:rsidP="009B4A01">
      <w:pPr>
        <w:pStyle w:val="Heading2"/>
      </w:pPr>
      <w:r>
        <w:t xml:space="preserve">Identifying and </w:t>
      </w:r>
      <w:r w:rsidRPr="009B4A01">
        <w:t>responding</w:t>
      </w:r>
      <w:r>
        <w:t xml:space="preserve"> to a medical emergency</w:t>
      </w:r>
    </w:p>
    <w:p w14:paraId="0E21EEFB" w14:textId="77777777" w:rsidR="009B4A01" w:rsidRDefault="009B4A01" w:rsidP="009B4A01">
      <w:r>
        <w:t xml:space="preserve">Any circumstance that may be life threatening must be treated as an emergency. An ambulance must be called in the event of: </w:t>
      </w:r>
    </w:p>
    <w:p w14:paraId="46D9DE09" w14:textId="77777777" w:rsidR="009B4A01" w:rsidRDefault="009B4A01" w:rsidP="009B4A01">
      <w:pPr>
        <w:pStyle w:val="ListParagraph"/>
      </w:pPr>
      <w:r>
        <w:t>•</w:t>
      </w:r>
      <w:r>
        <w:tab/>
        <w:t>breathing difficulties</w:t>
      </w:r>
    </w:p>
    <w:p w14:paraId="2F27EAB8" w14:textId="77777777" w:rsidR="009B4A01" w:rsidRDefault="009B4A01" w:rsidP="009B4A01">
      <w:pPr>
        <w:pStyle w:val="ListParagraph"/>
      </w:pPr>
      <w:r>
        <w:t>•</w:t>
      </w:r>
      <w:r>
        <w:tab/>
        <w:t>significant loss of blood</w:t>
      </w:r>
    </w:p>
    <w:p w14:paraId="29645A74" w14:textId="77777777" w:rsidR="009B4A01" w:rsidRDefault="009B4A01" w:rsidP="009B4A01">
      <w:pPr>
        <w:pStyle w:val="ListParagraph"/>
      </w:pPr>
      <w:r>
        <w:t>•</w:t>
      </w:r>
      <w:r>
        <w:tab/>
        <w:t>change in consciousness that is unexplained after a fall or a bump on the head</w:t>
      </w:r>
    </w:p>
    <w:p w14:paraId="09EEE42B" w14:textId="77777777" w:rsidR="009B4A01" w:rsidRDefault="009B4A01" w:rsidP="009B4A01">
      <w:pPr>
        <w:pStyle w:val="ListParagraph"/>
      </w:pPr>
      <w:r>
        <w:t>•</w:t>
      </w:r>
      <w:r>
        <w:tab/>
        <w:t>deterioration of a current condition even if treatment is occurring</w:t>
      </w:r>
    </w:p>
    <w:p w14:paraId="2CB3F8CC" w14:textId="77777777" w:rsidR="009B4A01" w:rsidRDefault="009B4A01" w:rsidP="009B4A01">
      <w:pPr>
        <w:pStyle w:val="ListParagraph"/>
      </w:pPr>
      <w:r>
        <w:t>•</w:t>
      </w:r>
      <w:r>
        <w:tab/>
        <w:t>any symptoms specified in a health management plan as requiring emergency treatment</w:t>
      </w:r>
    </w:p>
    <w:p w14:paraId="0F5C8646" w14:textId="77777777" w:rsidR="009B4A01" w:rsidRDefault="009B4A01" w:rsidP="009B4A01">
      <w:pPr>
        <w:pStyle w:val="ListParagraph"/>
      </w:pPr>
      <w:r>
        <w:t>•</w:t>
      </w:r>
      <w:r>
        <w:tab/>
        <w:t>any other incident requiring urgent medical advice</w:t>
      </w:r>
    </w:p>
    <w:p w14:paraId="6B97EEF0" w14:textId="77777777" w:rsidR="009B4A01" w:rsidRDefault="009B4A01" w:rsidP="009B4A01">
      <w:pPr>
        <w:pStyle w:val="Heading2"/>
      </w:pPr>
      <w:r>
        <w:t>Know the signs of aspiration pneumonia</w:t>
      </w:r>
    </w:p>
    <w:p w14:paraId="3EB66047" w14:textId="77777777" w:rsidR="009B4A01" w:rsidRDefault="009B4A01" w:rsidP="009B4A01">
      <w:r>
        <w:t xml:space="preserve">Swallowing issues significantly increase the risk of aspiration pneumonia which is a life threatening condition caused by inhaling food, fluid, saliva or vomit into the lungs.  </w:t>
      </w:r>
    </w:p>
    <w:p w14:paraId="75985DA1" w14:textId="77777777" w:rsidR="009B4A01" w:rsidRDefault="009B4A01" w:rsidP="009B4A01">
      <w:pPr>
        <w:pStyle w:val="Heading2"/>
      </w:pPr>
      <w:r>
        <w:lastRenderedPageBreak/>
        <w:t>Signs of aspiration pneumonia include:</w:t>
      </w:r>
    </w:p>
    <w:p w14:paraId="714CE185" w14:textId="77777777" w:rsidR="009B4A01" w:rsidRDefault="009B4A01" w:rsidP="009B4A01">
      <w:pPr>
        <w:pStyle w:val="ListParagraph"/>
      </w:pPr>
      <w:r>
        <w:t>•</w:t>
      </w:r>
      <w:r>
        <w:tab/>
        <w:t>a cough with sputum, pus or blood (however coughing may be weak or absent)</w:t>
      </w:r>
    </w:p>
    <w:p w14:paraId="2D74AB38" w14:textId="77777777" w:rsidR="009B4A01" w:rsidRDefault="009B4A01" w:rsidP="009B4A01">
      <w:pPr>
        <w:pStyle w:val="ListParagraph"/>
      </w:pPr>
      <w:r>
        <w:t>•</w:t>
      </w:r>
      <w:r>
        <w:tab/>
        <w:t>discharge or fluid from nose or mouth</w:t>
      </w:r>
    </w:p>
    <w:p w14:paraId="6FD95F94" w14:textId="77777777" w:rsidR="009B4A01" w:rsidRDefault="009B4A01" w:rsidP="009B4A01">
      <w:pPr>
        <w:pStyle w:val="ListParagraph"/>
      </w:pPr>
      <w:r>
        <w:t>•</w:t>
      </w:r>
      <w:r>
        <w:tab/>
        <w:t>a change in skin colour (blue or grey) due to lack of oxygen, breathing changes, wheezing or shortness of breath</w:t>
      </w:r>
    </w:p>
    <w:p w14:paraId="0134A19D" w14:textId="77777777" w:rsidR="009B4A01" w:rsidRDefault="009B4A01" w:rsidP="009B4A01">
      <w:pPr>
        <w:pStyle w:val="ListParagraph"/>
      </w:pPr>
      <w:r>
        <w:t>•</w:t>
      </w:r>
      <w:r>
        <w:tab/>
        <w:t>foul smelling breath</w:t>
      </w:r>
    </w:p>
    <w:p w14:paraId="5B28A66D" w14:textId="77777777" w:rsidR="009B4A01" w:rsidRDefault="009B4A01" w:rsidP="009B4A01">
      <w:pPr>
        <w:pStyle w:val="ListParagraph"/>
      </w:pPr>
      <w:r>
        <w:t>•</w:t>
      </w:r>
      <w:r>
        <w:tab/>
        <w:t>fatigue</w:t>
      </w:r>
    </w:p>
    <w:p w14:paraId="41858BC0" w14:textId="77777777" w:rsidR="009B4A01" w:rsidRDefault="009B4A01" w:rsidP="009B4A01">
      <w:pPr>
        <w:pStyle w:val="ListParagraph"/>
      </w:pPr>
      <w:r>
        <w:t>•</w:t>
      </w:r>
      <w:r>
        <w:tab/>
        <w:t>increased difficulty swallowing</w:t>
      </w:r>
    </w:p>
    <w:p w14:paraId="3B4F161F" w14:textId="77777777" w:rsidR="009B4A01" w:rsidRDefault="009B4A01" w:rsidP="009B4A01">
      <w:pPr>
        <w:pStyle w:val="ListParagraph"/>
      </w:pPr>
      <w:r>
        <w:t>•</w:t>
      </w:r>
      <w:r>
        <w:tab/>
        <w:t>being hot or sweaty and experiencing chest pain</w:t>
      </w:r>
    </w:p>
    <w:p w14:paraId="64108724" w14:textId="77777777" w:rsidR="009B4A01" w:rsidRDefault="009B4A01" w:rsidP="009B4A01">
      <w:pPr>
        <w:pStyle w:val="Heading2"/>
      </w:pPr>
      <w:r>
        <w:t>Depending on the seriousness of these symptoms:</w:t>
      </w:r>
    </w:p>
    <w:p w14:paraId="691D4EC9" w14:textId="77777777" w:rsidR="009B4A01" w:rsidRDefault="009B4A01" w:rsidP="009B4A01">
      <w:pPr>
        <w:pStyle w:val="ListParagraph"/>
      </w:pPr>
      <w:r>
        <w:t>•</w:t>
      </w:r>
      <w:r>
        <w:tab/>
        <w:t>seek immediate advice from the person’s doctor. Don’t wait for an appointment</w:t>
      </w:r>
    </w:p>
    <w:p w14:paraId="246465A4" w14:textId="77777777" w:rsidR="009B4A01" w:rsidRDefault="009B4A01" w:rsidP="009B4A01">
      <w:pPr>
        <w:pStyle w:val="ListParagraph"/>
      </w:pPr>
      <w:r>
        <w:t>•</w:t>
      </w:r>
      <w:r>
        <w:tab/>
        <w:t>phone NURSE-ON-CALL</w:t>
      </w:r>
    </w:p>
    <w:p w14:paraId="3A9BF848" w14:textId="77777777" w:rsidR="009B4A01" w:rsidRDefault="009B4A01" w:rsidP="009B4A01">
      <w:pPr>
        <w:pStyle w:val="ListParagraph"/>
      </w:pPr>
      <w:r>
        <w:t>•</w:t>
      </w:r>
      <w:r>
        <w:tab/>
        <w:t>phone 000</w:t>
      </w:r>
    </w:p>
    <w:p w14:paraId="0C90A260" w14:textId="77777777" w:rsidR="009B4A01" w:rsidRDefault="009B4A01" w:rsidP="009B4A01">
      <w:r>
        <w:t xml:space="preserve">This information is based on guidance contained in the </w:t>
      </w:r>
      <w:proofErr w:type="spellStart"/>
      <w:r w:rsidRPr="00A866DA">
        <w:t>the</w:t>
      </w:r>
      <w:proofErr w:type="spellEnd"/>
      <w:r w:rsidRPr="00A866DA">
        <w:t xml:space="preserve"> </w:t>
      </w:r>
      <w:hyperlink r:id="rId8" w:history="1">
        <w:r w:rsidRPr="00A866DA">
          <w:rPr>
            <w:rStyle w:val="Hyperlink"/>
          </w:rPr>
          <w:t>Residential Services Practice Manual</w:t>
        </w:r>
      </w:hyperlink>
      <w:r w:rsidRPr="00A866DA">
        <w:t xml:space="preserve"> </w:t>
      </w:r>
      <w:r>
        <w:t>&lt;</w:t>
      </w:r>
      <w:r w:rsidRPr="00A866DA">
        <w:t>https://providers.dffh.vic.gov.au/residential-services-practice-manual</w:t>
      </w:r>
      <w:r>
        <w:t>&gt;.</w:t>
      </w:r>
    </w:p>
    <w:p w14:paraId="3F3651CE" w14:textId="74FA6605" w:rsidR="00A866DA" w:rsidRPr="009B4A01" w:rsidRDefault="009B4A01" w:rsidP="009B4A01">
      <w:r>
        <w:t xml:space="preserve">To receive this document in another format please </w:t>
      </w:r>
      <w:hyperlink r:id="rId9" w:history="1">
        <w:r w:rsidRPr="00890473">
          <w:rPr>
            <w:rStyle w:val="Hyperlink"/>
          </w:rPr>
          <w:t>email Disability Services Commissioner</w:t>
        </w:r>
      </w:hyperlink>
      <w:r w:rsidRPr="00A866DA">
        <w:t xml:space="preserve"> </w:t>
      </w:r>
      <w:r>
        <w:t>&lt;</w:t>
      </w:r>
      <w:r w:rsidRPr="00A866DA">
        <w:t>contact@odsc.vic.gov.au</w:t>
      </w:r>
      <w:r>
        <w:t>&gt;. Authorised and published by the Disability Services Commissioner, 570 Bourke Street, Melbourne. © Disability Services Commissioner, November 2021. Printed by Hornet Press, Knoxfield (2111134).</w:t>
      </w:r>
    </w:p>
    <w:sectPr w:rsidR="00A866DA" w:rsidRPr="009B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B89C" w14:textId="77777777" w:rsidR="00C411FD" w:rsidRDefault="00C411FD" w:rsidP="00C411FD">
      <w:pPr>
        <w:spacing w:after="0" w:line="240" w:lineRule="auto"/>
      </w:pPr>
      <w:r>
        <w:separator/>
      </w:r>
    </w:p>
  </w:endnote>
  <w:endnote w:type="continuationSeparator" w:id="0">
    <w:p w14:paraId="2FF31F2A" w14:textId="77777777" w:rsidR="00C411FD" w:rsidRDefault="00C411FD" w:rsidP="00C4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468E" w14:textId="77777777" w:rsidR="00C411FD" w:rsidRDefault="00C411FD" w:rsidP="00C411FD">
      <w:pPr>
        <w:spacing w:after="0" w:line="240" w:lineRule="auto"/>
      </w:pPr>
      <w:r>
        <w:separator/>
      </w:r>
    </w:p>
  </w:footnote>
  <w:footnote w:type="continuationSeparator" w:id="0">
    <w:p w14:paraId="72BDBCD6" w14:textId="77777777" w:rsidR="00C411FD" w:rsidRDefault="00C411FD" w:rsidP="00C4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BAC"/>
    <w:multiLevelType w:val="hybridMultilevel"/>
    <w:tmpl w:val="FF8A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68A"/>
    <w:multiLevelType w:val="hybridMultilevel"/>
    <w:tmpl w:val="91CE046C"/>
    <w:lvl w:ilvl="0" w:tplc="767CE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26D"/>
    <w:multiLevelType w:val="hybridMultilevel"/>
    <w:tmpl w:val="91CE046C"/>
    <w:lvl w:ilvl="0" w:tplc="767CE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913"/>
    <w:multiLevelType w:val="hybridMultilevel"/>
    <w:tmpl w:val="7BA86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A77E7"/>
    <w:multiLevelType w:val="hybridMultilevel"/>
    <w:tmpl w:val="91CE046C"/>
    <w:lvl w:ilvl="0" w:tplc="767CE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DA"/>
    <w:rsid w:val="00010A7E"/>
    <w:rsid w:val="00163EB3"/>
    <w:rsid w:val="001D5C4B"/>
    <w:rsid w:val="004B64E1"/>
    <w:rsid w:val="00890473"/>
    <w:rsid w:val="009B4A01"/>
    <w:rsid w:val="00A04DC8"/>
    <w:rsid w:val="00A866DA"/>
    <w:rsid w:val="00B53CF4"/>
    <w:rsid w:val="00BC041D"/>
    <w:rsid w:val="00C35D25"/>
    <w:rsid w:val="00C411FD"/>
    <w:rsid w:val="00E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52F0D"/>
  <w15:chartTrackingRefBased/>
  <w15:docId w15:val="{F0E413A5-5C06-437A-8D67-7E921DC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F4"/>
    <w:pPr>
      <w:spacing w:after="240" w:line="320" w:lineRule="atLeast"/>
    </w:pPr>
    <w:rPr>
      <w:rFonts w:ascii="Arial" w:eastAsiaTheme="minorEastAsia" w:hAnsi="Arial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A01"/>
    <w:pPr>
      <w:keepNext/>
      <w:keepLines/>
      <w:spacing w:before="240" w:line="440" w:lineRule="atLeast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A01"/>
    <w:pPr>
      <w:keepNext/>
      <w:keepLines/>
      <w:spacing w:before="40" w:line="400" w:lineRule="atLeas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A7E"/>
    <w:pPr>
      <w:keepNext/>
      <w:keepLines/>
      <w:spacing w:before="40" w:line="360" w:lineRule="atLeast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CF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CF4"/>
    <w:rPr>
      <w:rFonts w:ascii="Arial" w:eastAsiaTheme="majorEastAsia" w:hAnsi="Arial" w:cstheme="majorBidi"/>
      <w:spacing w:val="-10"/>
      <w:kern w:val="28"/>
      <w:sz w:val="56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4A01"/>
    <w:rPr>
      <w:rFonts w:ascii="Arial" w:eastAsiaTheme="majorEastAsia" w:hAnsi="Arial" w:cstheme="majorBidi"/>
      <w:b/>
      <w:color w:val="000000" w:themeColor="text1"/>
      <w:sz w:val="40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B4A01"/>
    <w:rPr>
      <w:rFonts w:ascii="Arial" w:eastAsiaTheme="majorEastAsia" w:hAnsi="Arial" w:cstheme="majorBidi"/>
      <w:b/>
      <w:color w:val="000000" w:themeColor="text1"/>
      <w:sz w:val="32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9B4A01"/>
    <w:pPr>
      <w:spacing w:line="360" w:lineRule="atLeast"/>
      <w:ind w:left="720" w:hanging="720"/>
      <w:contextualSpacing/>
    </w:pPr>
  </w:style>
  <w:style w:type="character" w:styleId="Hyperlink">
    <w:name w:val="Hyperlink"/>
    <w:basedOn w:val="DefaultParagraphFont"/>
    <w:uiPriority w:val="99"/>
    <w:unhideWhenUsed/>
    <w:rsid w:val="00A86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D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CF4"/>
    <w:pPr>
      <w:numPr>
        <w:ilvl w:val="1"/>
      </w:numPr>
      <w:spacing w:after="480" w:line="480" w:lineRule="atLeast"/>
    </w:pPr>
    <w:rPr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53CF4"/>
    <w:rPr>
      <w:rFonts w:ascii="Arial" w:eastAsiaTheme="minorEastAsia" w:hAnsi="Arial"/>
      <w:color w:val="000000" w:themeColor="text1"/>
      <w:spacing w:val="15"/>
      <w:sz w:val="4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A7E"/>
    <w:rPr>
      <w:rFonts w:ascii="Arial" w:eastAsiaTheme="majorEastAsia" w:hAnsi="Arial" w:cstheme="majorBidi"/>
      <w:color w:val="1F3763" w:themeColor="accent1" w:themeShade="7F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iders.dffh.vic.gov.au/residential-services-practice-manu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ods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 for Let’s talk about deteriorating health poster - accessible</vt:lpstr>
    </vt:vector>
  </TitlesOfParts>
  <Company>Disability Services Commission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 for Let’s talk about deteriorating health poster - accessible</dc:title>
  <dc:subject>Deteriorating health</dc:subject>
  <dc:creator>Disability Services Commission</dc:creator>
  <cp:keywords>Deteriorating health; poster; resource</cp:keywords>
  <dc:description/>
  <cp:lastModifiedBy>Sarah Alexander (DFFH)</cp:lastModifiedBy>
  <cp:revision>3</cp:revision>
  <dcterms:created xsi:type="dcterms:W3CDTF">2021-12-03T04:58:00Z</dcterms:created>
  <dcterms:modified xsi:type="dcterms:W3CDTF">2021-12-03T05:05:00Z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2021-12-03T04:54:09Z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20a83413-be20-4fcd-bef3-e395912b03d7</vt:lpwstr>
  </property>
  <property fmtid="{D5CDD505-2E9C-101B-9397-08002B2CF9AE}" pid="8" name="MSIP_Label_efdf5488-3066-4b6c-8fea-9472b8a1f34c_ContentBits">
    <vt:lpwstr>0</vt:lpwstr>
  </property>
</Properties>
</file>